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湛江市财政局政府信息</w:t>
      </w:r>
      <w:r>
        <w:rPr>
          <w:rFonts w:hint="eastAsia" w:ascii="方正小标宋简体" w:hAnsi="方正小标宋简体" w:eastAsia="方正小标宋简体" w:cs="方正小标宋简体"/>
          <w:sz w:val="44"/>
          <w:szCs w:val="44"/>
          <w:lang w:eastAsia="zh-CN"/>
        </w:rPr>
        <w:t>主动公开基本目录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default"/>
          <w:lang w:val="en-US" w:eastAsia="zh-CN"/>
        </w:rPr>
      </w:pPr>
      <w:r>
        <w:rPr>
          <w:rFonts w:hint="eastAsia" w:ascii="楷体_GB2312" w:hAnsi="楷体_GB2312" w:eastAsia="楷体_GB2312" w:cs="楷体_GB2312"/>
          <w:sz w:val="32"/>
          <w:szCs w:val="32"/>
          <w:lang w:val="en-US" w:eastAsia="zh-CN"/>
        </w:rPr>
        <w:t>湛江市财政局</w:t>
      </w:r>
    </w:p>
    <w:p>
      <w:pPr>
        <w:keepNext w:val="0"/>
        <w:keepLines w:val="0"/>
        <w:pageBreakBefore w:val="0"/>
        <w:widowControl w:val="0"/>
        <w:kinsoku/>
        <w:wordWrap/>
        <w:overflowPunct/>
        <w:topLinePunct w:val="0"/>
        <w:autoSpaceDE/>
        <w:autoSpaceDN/>
        <w:bidi w:val="0"/>
        <w:adjustRightInd w:val="0"/>
        <w:snapToGrid w:val="0"/>
        <w:spacing w:line="360" w:lineRule="auto"/>
        <w:jc w:val="both"/>
        <w:textAlignment w:val="auto"/>
        <w:outlineLvl w:val="9"/>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黑体" w:hAnsi="黑体" w:eastAsia="黑体" w:cs="黑体"/>
          <w:sz w:val="44"/>
          <w:szCs w:val="44"/>
          <w:lang w:eastAsia="zh-CN"/>
        </w:rPr>
      </w:pPr>
      <w:r>
        <w:rPr>
          <w:rFonts w:hint="eastAsia" w:ascii="黑体" w:hAnsi="黑体" w:eastAsia="黑体" w:cs="黑体"/>
          <w:sz w:val="44"/>
          <w:szCs w:val="44"/>
          <w:lang w:eastAsia="zh-CN"/>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录</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 概述</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公开依据</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公开主体、公开时限、公开方式、监督渠道</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firstLine="0" w:firstLineChars="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 主动公开基本目录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outlineLvl w:val="9"/>
        <w:rPr>
          <w:rFonts w:hint="eastAsia"/>
          <w:lang w:val="en-US" w:eastAsia="zh-CN"/>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jc w:val="center"/>
        <w:textAlignment w:val="auto"/>
        <w:outlineLvl w:val="9"/>
        <w:rPr>
          <w:rFonts w:hint="eastAsia" w:ascii="楷体_GB2312" w:hAnsi="楷体_GB2312" w:eastAsia="楷体_GB2312" w:cs="楷体_GB2312"/>
          <w:b/>
          <w:bCs/>
          <w:sz w:val="44"/>
          <w:szCs w:val="44"/>
          <w:lang w:val="en-US" w:eastAsia="zh-CN"/>
        </w:rPr>
      </w:pPr>
      <w:r>
        <w:rPr>
          <w:rFonts w:hint="eastAsia" w:ascii="楷体_GB2312" w:hAnsi="楷体_GB2312" w:eastAsia="楷体_GB2312" w:cs="楷体_GB2312"/>
          <w:b/>
          <w:bCs/>
          <w:sz w:val="44"/>
          <w:szCs w:val="44"/>
          <w:lang w:val="en-US" w:eastAsia="zh-CN"/>
        </w:rPr>
        <w:t>概述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一、公开依据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1.《中华人民共和国预算法》及其实施条例;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2.《中华人民共和国政府信息公开条例》;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3.中共中央办公厅、国务院办公厅《关于全面推进政务公开工作的意见》（中办发〔2016〕8号）;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4.《国务院办公厅印发〈关于全面推进政务公开工作的意见〉实施细则的通知》（国办发〔2016〕80号）;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5.《中共广东省委办公厅 广东省人民政府办公厅印发〈关于我省全面推进政务公开工作实施意见〉的通知》（粤办发〔2016〕22号）;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6.《财政部贯彻落实〈关于全面推进政务公开工作的意见〉方案》（财办发〔2017〕37号）;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eastAsia="仿宋_GB2312"/>
          <w:sz w:val="32"/>
          <w:szCs w:val="32"/>
          <w:lang w:val="en-US" w:eastAsia="zh-CN"/>
        </w:rPr>
        <w:t>《国务院办公厅政府信息与政务公开办公室关于规范政府信息公开平台有关事项的通知》（国办公开办函〔2019〕61号）;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8.广东省财政厅主动公开基本目录；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9.对信息公开工作提出要求的其他规范性文件。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二、公开主体、公开时限、公开方式、监督渠道</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【公开主体】湛江市财政局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【公开时限】政府信息形成或者变更之日起20个工作日内（法律、法规对政府信息公开的时限另有规定的，从其规定）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【公开方式】湛江市财政局门户网站、微信及有关媒体主动公开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【监督渠道】通过湛江市财政局门户网站互动交流平台（http://zjsczj.zhanjiang.gov.cn/hdjlpt）、电子邮箱（zjsczj@zhanjiang.gov.cn）</w:t>
      </w:r>
      <w:r>
        <w:rPr>
          <w:rFonts w:hint="eastAsia" w:ascii="仿宋_GB2312" w:hAnsi="仿宋_GB2312" w:cs="仿宋_GB2312"/>
          <w:sz w:val="32"/>
          <w:szCs w:val="32"/>
          <w:lang w:val="en-US" w:eastAsia="zh-CN"/>
        </w:rPr>
        <w:t>、电话（0759-3220732）</w:t>
      </w:r>
      <w:r>
        <w:rPr>
          <w:rFonts w:hint="eastAsia" w:ascii="仿宋_GB2312" w:hAnsi="仿宋_GB2312" w:eastAsia="仿宋_GB2312" w:cs="仿宋_GB2312"/>
          <w:sz w:val="32"/>
          <w:szCs w:val="32"/>
          <w:lang w:val="en-US" w:eastAsia="zh-CN"/>
        </w:rPr>
        <w:t>等方式监督</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jc w:val="both"/>
        <w:textAlignment w:val="auto"/>
        <w:outlineLvl w:val="9"/>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jc w:val="both"/>
        <w:textAlignment w:val="auto"/>
        <w:outlineLvl w:val="9"/>
        <w:rPr>
          <w:rFonts w:hint="eastAsia" w:ascii="楷体_GB2312" w:hAnsi="楷体_GB2312" w:eastAsia="楷体_GB2312" w:cs="楷体_GB2312"/>
          <w:b/>
          <w:bCs/>
          <w:sz w:val="44"/>
          <w:szCs w:val="44"/>
          <w:lang w:val="en-US" w:eastAsia="zh-CN"/>
        </w:rPr>
      </w:pP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0" w:firstLineChars="0"/>
        <w:jc w:val="center"/>
        <w:textAlignment w:val="auto"/>
        <w:outlineLvl w:val="9"/>
        <w:rPr>
          <w:rFonts w:hint="eastAsia" w:ascii="楷体_GB2312" w:hAnsi="楷体_GB2312" w:eastAsia="楷体_GB2312" w:cs="楷体_GB2312"/>
          <w:b/>
          <w:bCs/>
          <w:sz w:val="44"/>
          <w:szCs w:val="44"/>
          <w:lang w:val="en-US" w:eastAsia="zh-CN"/>
        </w:rPr>
      </w:pPr>
      <w:bookmarkStart w:id="0" w:name="_GoBack"/>
      <w:bookmarkEnd w:id="0"/>
      <w:r>
        <w:rPr>
          <w:rFonts w:hint="eastAsia" w:ascii="楷体_GB2312" w:hAnsi="楷体_GB2312" w:eastAsia="楷体_GB2312" w:cs="楷体_GB2312"/>
          <w:b/>
          <w:bCs/>
          <w:sz w:val="44"/>
          <w:szCs w:val="44"/>
          <w:lang w:val="en-US" w:eastAsia="zh-CN"/>
        </w:rPr>
        <w:br w:type="page"/>
      </w:r>
      <w:r>
        <w:rPr>
          <w:rFonts w:hint="eastAsia" w:ascii="楷体_GB2312" w:hAnsi="楷体_GB2312" w:eastAsia="楷体_GB2312" w:cs="楷体_GB2312"/>
          <w:b/>
          <w:bCs/>
          <w:sz w:val="44"/>
          <w:szCs w:val="44"/>
          <w:lang w:val="en-US" w:eastAsia="zh-CN"/>
        </w:rPr>
        <w:t>主动公开基本目录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840" w:rightChars="-400"/>
        <w:jc w:val="both"/>
        <w:textAlignment w:val="auto"/>
        <w:outlineLvl w:val="9"/>
        <w:rPr>
          <w:rFonts w:hint="eastAsia"/>
          <w:lang w:val="en-US" w:eastAsia="zh-CN"/>
        </w:rPr>
      </w:pPr>
    </w:p>
    <w:tbl>
      <w:tblPr>
        <w:tblStyle w:val="4"/>
        <w:tblpPr w:leftFromText="180" w:rightFromText="180" w:vertAnchor="text" w:horzAnchor="page" w:tblpX="1102" w:tblpY="333"/>
        <w:tblOverlap w:val="never"/>
        <w:tblW w:w="9697" w:type="dxa"/>
        <w:tblInd w:w="0" w:type="dxa"/>
        <w:tblLayout w:type="fixed"/>
        <w:tblCellMar>
          <w:top w:w="15" w:type="dxa"/>
          <w:left w:w="15" w:type="dxa"/>
          <w:bottom w:w="15" w:type="dxa"/>
          <w:right w:w="15" w:type="dxa"/>
        </w:tblCellMar>
      </w:tblPr>
      <w:tblGrid>
        <w:gridCol w:w="692"/>
        <w:gridCol w:w="1166"/>
        <w:gridCol w:w="1637"/>
        <w:gridCol w:w="4283"/>
        <w:gridCol w:w="1919"/>
      </w:tblGrid>
      <w:tr>
        <w:tc>
          <w:tcPr>
            <w:tcW w:w="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序号</w:t>
            </w:r>
          </w:p>
        </w:tc>
        <w:tc>
          <w:tcPr>
            <w:tcW w:w="28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公开类别及事项</w:t>
            </w:r>
          </w:p>
        </w:tc>
        <w:tc>
          <w:tcPr>
            <w:tcW w:w="42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公开内容</w:t>
            </w:r>
          </w:p>
        </w:tc>
        <w:tc>
          <w:tcPr>
            <w:tcW w:w="19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责任科室</w:t>
            </w:r>
          </w:p>
          <w:p>
            <w:pPr>
              <w:widowControl/>
              <w:jc w:val="center"/>
              <w:textAlignment w:val="center"/>
              <w:rPr>
                <w:rFonts w:ascii="宋体" w:hAnsi="宋体" w:cs="宋体"/>
                <w:color w:val="000000"/>
                <w:sz w:val="24"/>
              </w:rPr>
            </w:pPr>
            <w:r>
              <w:rPr>
                <w:rFonts w:hint="eastAsia" w:ascii="宋体" w:hAnsi="宋体" w:cs="宋体"/>
                <w:color w:val="000000"/>
                <w:kern w:val="0"/>
                <w:sz w:val="24"/>
              </w:rPr>
              <w:t>（单位）</w:t>
            </w:r>
          </w:p>
        </w:tc>
      </w:tr>
      <w:tr>
        <w:tblPrEx>
          <w:tblCellMar>
            <w:top w:w="15" w:type="dxa"/>
            <w:left w:w="15" w:type="dxa"/>
            <w:bottom w:w="15" w:type="dxa"/>
            <w:right w:w="15"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w:t>
            </w:r>
          </w:p>
        </w:tc>
        <w:tc>
          <w:tcPr>
            <w:tcW w:w="42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19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p>
        </w:tc>
      </w:tr>
      <w:tr>
        <w:tblPrEx>
          <w:tblCellMar>
            <w:top w:w="15" w:type="dxa"/>
            <w:left w:w="15" w:type="dxa"/>
            <w:bottom w:w="15" w:type="dxa"/>
            <w:right w:w="15" w:type="dxa"/>
          </w:tblCellMar>
        </w:tblPrEx>
        <w:tc>
          <w:tcPr>
            <w:tcW w:w="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机构概况</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本局概况</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市财政局职责、投诉电话、电子邮箱、传真号码等。</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人事教育科</w:t>
            </w:r>
          </w:p>
        </w:tc>
      </w:tr>
      <w:tr>
        <w:tblPrEx>
          <w:tblCellMar>
            <w:top w:w="15" w:type="dxa"/>
            <w:left w:w="15" w:type="dxa"/>
            <w:bottom w:w="15" w:type="dxa"/>
            <w:right w:w="15" w:type="dxa"/>
          </w:tblCellMar>
        </w:tblPrEx>
        <w:trPr>
          <w:trHeight w:val="567" w:hRule="atLeast"/>
        </w:trPr>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领导分工</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市财政局领导成员姓名、照片、分工等。</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人事教育科</w:t>
            </w:r>
          </w:p>
        </w:tc>
      </w:tr>
      <w:tr>
        <w:tblPrEx>
          <w:tblCellMar>
            <w:top w:w="15" w:type="dxa"/>
            <w:left w:w="15" w:type="dxa"/>
            <w:bottom w:w="15" w:type="dxa"/>
            <w:right w:w="15"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机构设置</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市财政局各科室及下属事业单位的主要职能等。</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人事教育科</w:t>
            </w:r>
          </w:p>
        </w:tc>
      </w:tr>
      <w:tr>
        <w:tblPrEx>
          <w:tblCellMar>
            <w:top w:w="15" w:type="dxa"/>
            <w:left w:w="15" w:type="dxa"/>
            <w:bottom w:w="15" w:type="dxa"/>
            <w:right w:w="15" w:type="dxa"/>
          </w:tblCellMar>
        </w:tblPrEx>
        <w:tc>
          <w:tcPr>
            <w:tcW w:w="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政府信息公开</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主动公开目录</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市财政局政府信息主动公开基本目录的具体内容，包括主要依据、责任主体、公开时限、公开方式、监督渠道、目录内容等。</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sz w:val="24"/>
              </w:rPr>
              <w:t>办公室</w:t>
            </w:r>
          </w:p>
        </w:tc>
      </w:tr>
      <w:tr>
        <w:tblPrEx>
          <w:tblCellMar>
            <w:top w:w="15" w:type="dxa"/>
            <w:left w:w="15" w:type="dxa"/>
            <w:bottom w:w="15" w:type="dxa"/>
            <w:right w:w="15"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权责清单</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市财政局权责清单目录。</w:t>
            </w:r>
          </w:p>
          <w:p>
            <w:pPr>
              <w:jc w:val="center"/>
              <w:rPr>
                <w:rFonts w:ascii="宋体" w:hAnsi="宋体" w:cs="宋体"/>
                <w:color w:val="000000"/>
                <w:kern w:val="0"/>
                <w:sz w:val="24"/>
              </w:rPr>
            </w:pPr>
            <w:r>
              <w:rPr>
                <w:rFonts w:hint="eastAsia" w:ascii="宋体" w:hAnsi="宋体" w:cs="宋体"/>
                <w:color w:val="000000"/>
                <w:kern w:val="0"/>
                <w:sz w:val="24"/>
              </w:rPr>
              <w:t>（跳转至广东政务服务网）</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法规科</w:t>
            </w:r>
          </w:p>
        </w:tc>
      </w:tr>
      <w:tr>
        <w:tblPrEx>
          <w:tblCellMar>
            <w:top w:w="15" w:type="dxa"/>
            <w:left w:w="15" w:type="dxa"/>
            <w:bottom w:w="15" w:type="dxa"/>
            <w:right w:w="15"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通知公告</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通知、公告、公示、报告、实施意见、实施细则等公开方式为“主动公开”的公文。</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相关科室（单位）</w:t>
            </w:r>
          </w:p>
        </w:tc>
      </w:tr>
      <w:tr>
        <w:tblPrEx>
          <w:tblCellMar>
            <w:top w:w="15" w:type="dxa"/>
            <w:left w:w="15" w:type="dxa"/>
            <w:bottom w:w="15" w:type="dxa"/>
            <w:right w:w="15"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政府网站年度工作报表</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市财政局政府网站年度工作报表</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sz w:val="24"/>
              </w:rPr>
              <w:t>办公室</w:t>
            </w:r>
          </w:p>
        </w:tc>
      </w:tr>
      <w:tr>
        <w:tblPrEx>
          <w:tblCellMar>
            <w:top w:w="15" w:type="dxa"/>
            <w:left w:w="15" w:type="dxa"/>
            <w:bottom w:w="15" w:type="dxa"/>
            <w:right w:w="15" w:type="dxa"/>
          </w:tblCellMar>
        </w:tblPrEx>
        <w:tc>
          <w:tcPr>
            <w:tcW w:w="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3</w:t>
            </w: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重点领域信息公开</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kern w:val="0"/>
                <w:sz w:val="24"/>
              </w:rPr>
              <w:t>财政预决算</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ascii="宋体" w:hAnsi="宋体" w:cs="宋体"/>
                <w:sz w:val="24"/>
              </w:rPr>
              <w:t>市级预算、预算调整、决算、预算执行情况的报告及报表</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预算科、国库科</w:t>
            </w:r>
          </w:p>
        </w:tc>
      </w:tr>
      <w:tr>
        <w:tblPrEx>
          <w:tblCellMar>
            <w:top w:w="15" w:type="dxa"/>
            <w:left w:w="15" w:type="dxa"/>
            <w:bottom w:w="15" w:type="dxa"/>
            <w:right w:w="15" w:type="dxa"/>
          </w:tblCellMar>
        </w:tblPrEx>
        <w:trPr>
          <w:trHeight w:val="567" w:hRule="atLeast"/>
        </w:trPr>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kern w:val="0"/>
                <w:sz w:val="24"/>
              </w:rPr>
              <w:t>部门预决算</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湛江市财政局部门预决算</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办公室</w:t>
            </w:r>
          </w:p>
        </w:tc>
      </w:tr>
      <w:tr>
        <w:tblPrEx>
          <w:tblCellMar>
            <w:top w:w="15" w:type="dxa"/>
            <w:left w:w="15" w:type="dxa"/>
            <w:bottom w:w="15" w:type="dxa"/>
            <w:right w:w="15"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kern w:val="0"/>
                <w:sz w:val="24"/>
              </w:rPr>
              <w:t>“三公”经费</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市财政局及其下属事业单位“三公”经费支出预算、决算情况说明。</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办公室</w:t>
            </w:r>
          </w:p>
        </w:tc>
      </w:tr>
      <w:tr>
        <w:tblPrEx>
          <w:tblCellMar>
            <w:top w:w="15" w:type="dxa"/>
            <w:left w:w="15" w:type="dxa"/>
            <w:bottom w:w="15" w:type="dxa"/>
            <w:right w:w="15" w:type="dxa"/>
          </w:tblCellMar>
        </w:tblPrEx>
        <w:trPr>
          <w:trHeight w:val="567" w:hRule="atLeast"/>
        </w:trPr>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kern w:val="0"/>
                <w:sz w:val="24"/>
              </w:rPr>
              <w:t>财政收支情况</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湛江市一般公共预算收支情况</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国库科</w:t>
            </w:r>
          </w:p>
        </w:tc>
      </w:tr>
      <w:tr>
        <w:tblPrEx>
          <w:tblCellMar>
            <w:top w:w="15" w:type="dxa"/>
            <w:left w:w="15" w:type="dxa"/>
            <w:bottom w:w="15" w:type="dxa"/>
            <w:right w:w="15" w:type="dxa"/>
          </w:tblCellMar>
        </w:tblPrEx>
        <w:trPr>
          <w:trHeight w:val="567" w:hRule="atLeast"/>
        </w:trPr>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kern w:val="0"/>
                <w:sz w:val="24"/>
              </w:rPr>
              <w:t>财政专项信息</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湛江市财政专项信息</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相关科室（单位）</w:t>
            </w:r>
          </w:p>
        </w:tc>
      </w:tr>
      <w:tr>
        <w:tblPrEx>
          <w:tblCellMar>
            <w:top w:w="15" w:type="dxa"/>
            <w:left w:w="15" w:type="dxa"/>
            <w:bottom w:w="15" w:type="dxa"/>
            <w:right w:w="15"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kern w:val="0"/>
                <w:sz w:val="24"/>
              </w:rPr>
              <w:t>财政资金直达基层</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财政直达资金的有关政策、资金下达文件等。</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预算科、国库科会相关科室（单位）</w:t>
            </w:r>
          </w:p>
        </w:tc>
      </w:tr>
      <w:tr>
        <w:tblPrEx>
          <w:tblCellMar>
            <w:top w:w="15" w:type="dxa"/>
            <w:left w:w="15" w:type="dxa"/>
            <w:bottom w:w="15" w:type="dxa"/>
            <w:right w:w="15" w:type="dxa"/>
          </w:tblCellMar>
        </w:tblPrEx>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kern w:val="0"/>
                <w:sz w:val="24"/>
              </w:rPr>
              <w:t>政府社会资本合作（PPP）项目</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政府和社会资本合作的有关政策、PPP项目的入库、调整、退库审核等信息。</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金融科</w:t>
            </w:r>
          </w:p>
        </w:tc>
      </w:tr>
      <w:tr>
        <w:tblPrEx>
          <w:tblCellMar>
            <w:top w:w="15" w:type="dxa"/>
            <w:left w:w="15" w:type="dxa"/>
            <w:bottom w:w="15" w:type="dxa"/>
            <w:right w:w="15" w:type="dxa"/>
          </w:tblCellMar>
        </w:tblPrEx>
        <w:trPr>
          <w:trHeight w:val="567" w:hRule="atLeast"/>
        </w:trPr>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减税降费信息</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减税降费相关政策信息。</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国库科</w:t>
            </w:r>
          </w:p>
        </w:tc>
      </w:tr>
      <w:tr>
        <w:tblPrEx>
          <w:tblCellMar>
            <w:top w:w="15" w:type="dxa"/>
            <w:left w:w="15" w:type="dxa"/>
            <w:bottom w:w="15" w:type="dxa"/>
            <w:right w:w="15" w:type="dxa"/>
          </w:tblCellMar>
        </w:tblPrEx>
        <w:trPr>
          <w:trHeight w:val="567" w:hRule="atLeast"/>
        </w:trPr>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4</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r>
              <w:rPr>
                <w:rFonts w:hint="eastAsia" w:ascii="宋体" w:hAnsi="宋体" w:cs="宋体"/>
                <w:color w:val="000000"/>
                <w:kern w:val="0"/>
                <w:sz w:val="24"/>
              </w:rPr>
              <w:t>工作动态</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发布市财政局工作动态信息。</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相关科室（单位）</w:t>
            </w:r>
          </w:p>
        </w:tc>
      </w:tr>
      <w:tr>
        <w:tblPrEx>
          <w:tblCellMar>
            <w:top w:w="15" w:type="dxa"/>
            <w:left w:w="15" w:type="dxa"/>
            <w:bottom w:w="15" w:type="dxa"/>
            <w:right w:w="15" w:type="dxa"/>
          </w:tblCellMar>
        </w:tblPrEx>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5</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政策解读</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规范性文件、与重大民生问题相关的政策文件的文件名称、解读内容等，解读内容需与原文件同步发布、互相关联。</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相关科室（单位）</w:t>
            </w:r>
          </w:p>
        </w:tc>
      </w:tr>
      <w:tr>
        <w:tblPrEx>
          <w:tblCellMar>
            <w:top w:w="15" w:type="dxa"/>
            <w:left w:w="15" w:type="dxa"/>
            <w:bottom w:w="15" w:type="dxa"/>
            <w:right w:w="15" w:type="dxa"/>
          </w:tblCellMar>
        </w:tblPrEx>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6</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办事指南</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跳转至广东政务服务网</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法规科会相关科室（单位）</w:t>
            </w:r>
          </w:p>
        </w:tc>
      </w:tr>
      <w:tr>
        <w:tblPrEx>
          <w:tblCellMar>
            <w:top w:w="15" w:type="dxa"/>
            <w:left w:w="15" w:type="dxa"/>
            <w:bottom w:w="15" w:type="dxa"/>
            <w:right w:w="15" w:type="dxa"/>
          </w:tblCellMar>
        </w:tblPrEx>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7</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行政执法</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跳转至广东政务服务网</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法规科会相关科室（单位）</w:t>
            </w:r>
          </w:p>
        </w:tc>
      </w:tr>
      <w:tr>
        <w:tblPrEx>
          <w:tblCellMar>
            <w:top w:w="15" w:type="dxa"/>
            <w:left w:w="15" w:type="dxa"/>
            <w:bottom w:w="15" w:type="dxa"/>
            <w:right w:w="15" w:type="dxa"/>
          </w:tblCellMar>
        </w:tblPrEx>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8</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r>
              <w:rPr>
                <w:rFonts w:hint="eastAsia" w:ascii="宋体" w:hAnsi="宋体" w:cs="宋体"/>
                <w:color w:val="000000"/>
                <w:kern w:val="0"/>
                <w:sz w:val="24"/>
              </w:rPr>
              <w:t>政府采购</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政府集中采购项目的目录、标准及实施情况，政府采购投诉处理结果公告、监督检查处理结果公告、集中采购机构考核结果公告等。（跳转至广东省政府采购网）</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政府采购监管科</w:t>
            </w:r>
          </w:p>
        </w:tc>
      </w:tr>
      <w:tr>
        <w:tblPrEx>
          <w:tblCellMar>
            <w:top w:w="15" w:type="dxa"/>
            <w:left w:w="15" w:type="dxa"/>
            <w:bottom w:w="15" w:type="dxa"/>
            <w:right w:w="15" w:type="dxa"/>
          </w:tblCellMar>
        </w:tblPrEx>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行政事业性收费</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Arial" w:hAnsi="Arial" w:cs="Arial"/>
                <w:color w:val="000000"/>
                <w:sz w:val="24"/>
                <w:shd w:val="clear" w:color="auto" w:fill="FFFFFF"/>
              </w:rPr>
              <w:t>湛江市</w:t>
            </w:r>
            <w:r>
              <w:rPr>
                <w:rFonts w:ascii="Arial" w:hAnsi="Arial" w:cs="Arial"/>
                <w:color w:val="000000"/>
                <w:sz w:val="24"/>
                <w:shd w:val="clear" w:color="auto" w:fill="FFFFFF"/>
              </w:rPr>
              <w:t>行政事业性收费目录清单</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综合科</w:t>
            </w:r>
          </w:p>
        </w:tc>
      </w:tr>
      <w:tr>
        <w:tblPrEx>
          <w:tblCellMar>
            <w:top w:w="15" w:type="dxa"/>
            <w:left w:w="15" w:type="dxa"/>
            <w:bottom w:w="15" w:type="dxa"/>
            <w:right w:w="15" w:type="dxa"/>
          </w:tblCellMar>
        </w:tblPrEx>
        <w:tc>
          <w:tcPr>
            <w:tcW w:w="6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1</w:t>
            </w:r>
            <w:r>
              <w:rPr>
                <w:rFonts w:hint="eastAsia" w:ascii="宋体" w:hAnsi="宋体" w:cs="宋体"/>
                <w:color w:val="000000"/>
                <w:kern w:val="0"/>
                <w:sz w:val="24"/>
                <w:lang w:val="en-US" w:eastAsia="zh-CN"/>
              </w:rPr>
              <w:t>0</w:t>
            </w:r>
          </w:p>
        </w:tc>
        <w:tc>
          <w:tcPr>
            <w:tcW w:w="11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政策文件</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规范性文件</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ascii="Arial" w:hAnsi="Arial" w:cs="Arial"/>
                <w:color w:val="000000"/>
                <w:sz w:val="24"/>
                <w:shd w:val="clear" w:color="auto" w:fill="FFFFFF"/>
              </w:rPr>
              <w:t>财政部出台的规范性制度文件；省财政厅出台的规范性制度文件</w:t>
            </w:r>
            <w:r>
              <w:rPr>
                <w:rFonts w:hint="eastAsia" w:ascii="Arial" w:hAnsi="Arial" w:cs="Arial"/>
                <w:color w:val="000000"/>
                <w:sz w:val="24"/>
                <w:shd w:val="clear" w:color="auto" w:fill="FFFFFF"/>
              </w:rPr>
              <w:t>；市财政局出台的规范性制度文件及文件解读内容。</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法规科会相关科室（单位）</w:t>
            </w:r>
          </w:p>
        </w:tc>
      </w:tr>
      <w:tr>
        <w:tblPrEx>
          <w:tblCellMar>
            <w:top w:w="15" w:type="dxa"/>
            <w:left w:w="15" w:type="dxa"/>
            <w:bottom w:w="15" w:type="dxa"/>
            <w:right w:w="15" w:type="dxa"/>
          </w:tblCellMar>
        </w:tblPrEx>
        <w:trPr>
          <w:trHeight w:val="567" w:hRule="atLeast"/>
        </w:trPr>
        <w:tc>
          <w:tcPr>
            <w:tcW w:w="69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11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其他文件</w:t>
            </w: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市财政局出台的其他文件</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相关科室（单位）</w:t>
            </w:r>
          </w:p>
        </w:tc>
      </w:tr>
      <w:tr>
        <w:tblPrEx>
          <w:tblCellMar>
            <w:top w:w="15" w:type="dxa"/>
            <w:left w:w="15" w:type="dxa"/>
            <w:bottom w:w="15" w:type="dxa"/>
            <w:right w:w="15" w:type="dxa"/>
          </w:tblCellMar>
        </w:tblPrEx>
        <w:trPr>
          <w:trHeight w:val="567" w:hRule="atLeast"/>
        </w:trPr>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color w:val="000000"/>
                <w:sz w:val="24"/>
              </w:rPr>
            </w:pPr>
            <w:r>
              <w:rPr>
                <w:rFonts w:hint="eastAsia" w:ascii="宋体" w:hAnsi="宋体" w:cs="宋体"/>
                <w:color w:val="000000"/>
                <w:sz w:val="24"/>
              </w:rPr>
              <w:t>依申请</w:t>
            </w:r>
          </w:p>
          <w:p>
            <w:pPr>
              <w:jc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公开</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跳转至湛江市财政局政府信息依申请公开系统</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办公室会相关科室（单位）</w:t>
            </w:r>
          </w:p>
        </w:tc>
      </w:tr>
      <w:tr>
        <w:tblPrEx>
          <w:tblCellMar>
            <w:top w:w="15" w:type="dxa"/>
            <w:left w:w="15" w:type="dxa"/>
            <w:bottom w:w="15" w:type="dxa"/>
            <w:right w:w="15" w:type="dxa"/>
          </w:tblCellMar>
        </w:tblPrEx>
        <w:trPr>
          <w:trHeight w:val="567" w:hRule="atLeast"/>
        </w:trPr>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12</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网站留言</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4"/>
              </w:rPr>
            </w:pP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2"/>
                <w:sz w:val="24"/>
                <w:szCs w:val="24"/>
                <w:lang w:val="en-US" w:eastAsia="zh-CN" w:bidi="ar-SA"/>
              </w:rPr>
            </w:pPr>
            <w:r>
              <w:rPr>
                <w:rFonts w:hint="eastAsia" w:ascii="宋体" w:hAnsi="宋体" w:cs="宋体"/>
                <w:color w:val="000000"/>
                <w:sz w:val="24"/>
              </w:rPr>
              <w:t>跳转至湛江市财政局互动交流平台</w:t>
            </w: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cs="宋体"/>
                <w:color w:val="000000"/>
                <w:sz w:val="24"/>
              </w:rPr>
            </w:pPr>
            <w:r>
              <w:rPr>
                <w:rFonts w:hint="eastAsia" w:ascii="宋体" w:hAnsi="宋体" w:cs="宋体"/>
                <w:color w:val="000000"/>
                <w:sz w:val="24"/>
              </w:rPr>
              <w:t>办公室会相关科室（单位）</w:t>
            </w:r>
          </w:p>
        </w:tc>
      </w:tr>
      <w:tr>
        <w:tblPrEx>
          <w:tblCellMar>
            <w:top w:w="15" w:type="dxa"/>
            <w:left w:w="15" w:type="dxa"/>
            <w:bottom w:w="15" w:type="dxa"/>
            <w:right w:w="15" w:type="dxa"/>
          </w:tblCellMar>
        </w:tblPrEx>
        <w:trPr>
          <w:trHeight w:val="567" w:hRule="atLeast"/>
        </w:trPr>
        <w:tc>
          <w:tcPr>
            <w:tcW w:w="6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rPr>
              <w:t>1</w:t>
            </w:r>
            <w:r>
              <w:rPr>
                <w:rFonts w:hint="eastAsia" w:ascii="宋体" w:hAnsi="宋体" w:cs="宋体"/>
                <w:color w:val="000000"/>
                <w:kern w:val="0"/>
                <w:sz w:val="24"/>
                <w:lang w:val="en-US" w:eastAsia="zh-CN"/>
              </w:rPr>
              <w:t>3</w:t>
            </w:r>
          </w:p>
        </w:tc>
        <w:tc>
          <w:tcPr>
            <w:tcW w:w="11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rPr>
              <w:t>其他</w:t>
            </w:r>
          </w:p>
        </w:tc>
        <w:tc>
          <w:tcPr>
            <w:tcW w:w="163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2"/>
                <w:sz w:val="24"/>
                <w:szCs w:val="24"/>
                <w:lang w:val="en-US" w:eastAsia="zh-CN" w:bidi="ar-SA"/>
              </w:rPr>
            </w:pPr>
          </w:p>
        </w:tc>
        <w:tc>
          <w:tcPr>
            <w:tcW w:w="428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kern w:val="2"/>
                <w:sz w:val="24"/>
                <w:szCs w:val="24"/>
                <w:lang w:val="en-US" w:eastAsia="zh-CN" w:bidi="ar-SA"/>
              </w:rPr>
            </w:pPr>
          </w:p>
        </w:tc>
        <w:tc>
          <w:tcPr>
            <w:tcW w:w="1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rPr>
              <w:t>各科室（单位）</w:t>
            </w:r>
          </w:p>
        </w:tc>
      </w:tr>
    </w:tbl>
    <w:p>
      <w:pPr>
        <w:adjustRightInd w:val="0"/>
        <w:snapToGrid w:val="0"/>
        <w:spacing w:line="360" w:lineRule="auto"/>
        <w:ind w:left="-840" w:leftChars="-400" w:right="-840" w:rightChars="-400"/>
      </w:pPr>
    </w:p>
    <w:p>
      <w:pPr>
        <w:keepNext w:val="0"/>
        <w:keepLines w:val="0"/>
        <w:pageBreakBefore w:val="0"/>
        <w:widowControl w:val="0"/>
        <w:kinsoku/>
        <w:wordWrap/>
        <w:overflowPunct/>
        <w:topLinePunct w:val="0"/>
        <w:autoSpaceDE/>
        <w:autoSpaceDN/>
        <w:bidi w:val="0"/>
        <w:ind w:left="-840" w:leftChars="-400" w:right="-840" w:rightChars="-400" w:firstLine="0" w:firstLineChars="0"/>
        <w:jc w:val="both"/>
        <w:textAlignment w:val="auto"/>
      </w:pPr>
    </w:p>
    <w:sectPr>
      <w:pgSz w:w="11906" w:h="16838"/>
      <w:pgMar w:top="1871" w:right="1418" w:bottom="1361"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7A"/>
    <w:family w:val="auto"/>
    <w:pitch w:val="default"/>
    <w:sig w:usb0="00000000" w:usb1="00000000" w:usb2="00000000" w:usb3="00000000" w:csb0="00040000" w:csb1="00000000"/>
  </w:font>
  <w:font w:name="楷体_GB2312">
    <w:altName w:val="楷体"/>
    <w:panose1 w:val="02010609030101010101"/>
    <w:charset w:val="7A"/>
    <w:family w:val="auto"/>
    <w:pitch w:val="default"/>
    <w:sig w:usb0="00000000" w:usb1="00000000" w:usb2="00000000" w:usb3="00000000" w:csb0="00040000" w:csb1="00000000"/>
  </w:font>
  <w:font w:name="仿宋_GB2312">
    <w:altName w:val="仿宋"/>
    <w:panose1 w:val="02010609030101010101"/>
    <w:charset w:val="7A"/>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abstractNum w:abstractNumId="1">
    <w:nsid w:val="00000001"/>
    <w:multiLevelType w:val="singleLevel"/>
    <w:tmpl w:val="00000001"/>
    <w:lvl w:ilvl="0" w:tentative="0">
      <w:start w:val="1"/>
      <w:numFmt w:val="chineseCounting"/>
      <w:suff w:val="space"/>
      <w:lvlText w:val="第%1部分"/>
      <w:lvlJc w:val="left"/>
      <w:rPr>
        <w:rFonts w:hint="eastAsia"/>
      </w:rPr>
    </w:lvl>
  </w:abstractNum>
  <w:abstractNum w:abstractNumId="2">
    <w:nsid w:val="00000002"/>
    <w:multiLevelType w:val="singleLevel"/>
    <w:tmpl w:val="00000002"/>
    <w:lvl w:ilvl="0" w:tentative="0">
      <w:start w:val="1"/>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NotTrackFormatting/>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mmondata" w:val="eyJoZGlkIjoiMDc5Njg2OGY5NjI2N2MyMjI5MDFhMWIxNzNjNWQ4ZTIifQ=="/>
  </w:docVars>
  <w:rsids>
    <w:rsidRoot w:val="00000000"/>
    <w:rsid w:val="09153012"/>
    <w:rsid w:val="1176147D"/>
    <w:rsid w:val="1A8F253F"/>
    <w:rsid w:val="2BE45369"/>
    <w:rsid w:val="309E2990"/>
    <w:rsid w:val="346E0EBD"/>
    <w:rsid w:val="35E61CE1"/>
    <w:rsid w:val="388315CA"/>
    <w:rsid w:val="38B01B71"/>
    <w:rsid w:val="3AD57786"/>
    <w:rsid w:val="503C1244"/>
    <w:rsid w:val="623F6B1B"/>
    <w:rsid w:val="6600238D"/>
    <w:rsid w:val="70B542F5"/>
    <w:rsid w:val="7AD421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800080"/>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0000FF"/>
      <w:u w:val="none"/>
    </w:rPr>
  </w:style>
  <w:style w:type="character" w:styleId="13">
    <w:name w:val="HTML Code"/>
    <w:basedOn w:val="6"/>
    <w:qFormat/>
    <w:uiPriority w:val="0"/>
    <w:rPr>
      <w:rFonts w:ascii="Courier New" w:hAnsi="Courier New"/>
      <w:sz w:val="18"/>
      <w:szCs w:val="18"/>
    </w:rPr>
  </w:style>
  <w:style w:type="character" w:styleId="14">
    <w:name w:val="HTML Cite"/>
    <w:basedOn w:val="6"/>
    <w:qFormat/>
    <w:uiPriority w:val="0"/>
  </w:style>
  <w:style w:type="character" w:customStyle="1" w:styleId="15">
    <w:name w:val="itc"/>
    <w:basedOn w:val="6"/>
    <w:qFormat/>
    <w:uiPriority w:val="0"/>
  </w:style>
  <w:style w:type="character" w:customStyle="1" w:styleId="16">
    <w:name w:val="styhelp"/>
    <w:basedOn w:val="6"/>
    <w:qFormat/>
    <w:uiPriority w:val="0"/>
  </w:style>
  <w:style w:type="character" w:customStyle="1" w:styleId="17">
    <w:name w:val="mail"/>
    <w:basedOn w:val="6"/>
    <w:qFormat/>
    <w:uiPriority w:val="0"/>
  </w:style>
  <w:style w:type="character" w:customStyle="1" w:styleId="18">
    <w:name w:val="pw"/>
    <w:basedOn w:val="6"/>
    <w:qFormat/>
    <w:uiPriority w:val="0"/>
  </w:style>
  <w:style w:type="character" w:customStyle="1" w:styleId="19">
    <w:name w:val="ex"/>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1528</Words>
  <Characters>1633</Characters>
  <Paragraphs>85</Paragraphs>
  <TotalTime>2</TotalTime>
  <ScaleCrop>false</ScaleCrop>
  <LinksUpToDate>false</LinksUpToDate>
  <CharactersWithSpaces>1638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2021-06-02T07:25:00Z</dcterms:created>
  <dc:creator>王青</dc:creator>
  <cp:lastModifiedBy>彭</cp:lastModifiedBy>
  <cp:lastPrinted>2021-07-12T09:48:00Z</cp:lastPrinted>
  <dcterms:modified xsi:type="dcterms:W3CDTF">2023-04-20T07:20:54Z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08EA1697EAAD4E7581CF76DA46479146_13</vt:lpwstr>
  </property>
</Properties>
</file>