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附件3 </w:t>
      </w:r>
    </w:p>
    <w:p>
      <w:pPr>
        <w:spacing w:line="620" w:lineRule="exact"/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spacing w:line="620" w:lineRule="exact"/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“数字财政”建设资金</w:t>
      </w:r>
      <w:r>
        <w:rPr>
          <w:rFonts w:hint="eastAsia" w:ascii="方正小标宋_GBK" w:eastAsia="方正小标宋_GBK"/>
          <w:sz w:val="44"/>
          <w:szCs w:val="44"/>
        </w:rPr>
        <w:t>项目支出绩效自评报告</w:t>
      </w: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20" w:lineRule="exac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“数字财政”建设资金</w:t>
      </w:r>
    </w:p>
    <w:p>
      <w:pPr>
        <w:spacing w:line="620" w:lineRule="exac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评价年度：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</w:t>
      </w:r>
    </w:p>
    <w:p>
      <w:pPr>
        <w:spacing w:line="620" w:lineRule="exac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市级预算部门单位（公章）：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湛江市财政局</w:t>
      </w:r>
    </w:p>
    <w:p>
      <w:pPr>
        <w:spacing w:line="620" w:lineRule="exac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填报日期：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2022年4月19日</w:t>
      </w: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20" w:lineRule="exact"/>
        <w:rPr>
          <w:rFonts w:hint="eastAsia" w:ascii="仿宋_GB2312" w:eastAsia="仿宋_GB2312"/>
          <w:sz w:val="30"/>
        </w:rPr>
      </w:pPr>
    </w:p>
    <w:p>
      <w:pPr>
        <w:spacing w:line="600" w:lineRule="exact"/>
        <w:ind w:firstLine="600"/>
        <w:rPr>
          <w:rFonts w:hint="eastAsia" w:ascii="黑体" w:hAnsi="黑体" w:eastAsia="黑体" w:cs="黑体"/>
          <w:kern w:val="1"/>
          <w:sz w:val="32"/>
          <w:szCs w:val="32"/>
        </w:rPr>
      </w:pPr>
      <w:r>
        <w:rPr>
          <w:rFonts w:hint="eastAsia" w:ascii="黑体" w:hAnsi="黑体" w:eastAsia="黑体" w:cs="黑体"/>
          <w:kern w:val="1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/>
          <w:kern w:val="1"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" w:firstLineChars="200"/>
        <w:textAlignment w:val="auto"/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</w:rPr>
        <w:t>按照“大财政、大预算、大资产”管理理念和“全省一盘棋”的管理模式，根据全省“数字财政”建设实施工作要求，全面完成我市“数字政府”公共财政综合管理平台（一期）项目实施上线工作，涵盖预算域、执行域、核算域三部分共计8个财政核心业务模块，按照预算管理一体化要求，实现全市（含县市区）与省全面联网，核心业务全面一体化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" w:firstLineChars="200"/>
        <w:textAlignment w:val="auto"/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项目主要内容包括湛江市本级及下辖11各县（市、区）“数字财政”（一期）项目实施、全市财政网络纵向（上下级财政部门互联）和横向（与本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地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预算单位、人行、代理行等互联）专网网络租赁、“数字财政”智能运维平台搭建及后续运维服务、全市电子支付凭证库改造、“数字财政”终端梳理改造、“数字财政”培训、“数字财政”会议终端等用于支撑保障全市“数字财政”实施上线。</w:t>
      </w:r>
    </w:p>
    <w:p>
      <w:pPr>
        <w:numPr>
          <w:ilvl w:val="0"/>
          <w:numId w:val="1"/>
        </w:numPr>
        <w:spacing w:line="600" w:lineRule="exact"/>
        <w:ind w:firstLine="600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/>
          <w:kern w:val="1"/>
          <w:sz w:val="32"/>
          <w:szCs w:val="32"/>
        </w:rPr>
        <w:t>评价年度项目绩效目标设定情况。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" w:firstLineChars="200"/>
        <w:textAlignment w:val="auto"/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总体目标为提升我市预算管理一体化水平，确保全市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“数字政府”公共财政综合管理平台（一期）项目实施上线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spacing w:line="600" w:lineRule="exact"/>
        <w:ind w:firstLine="588" w:firstLineChars="200"/>
        <w:rPr>
          <w:rFonts w:hint="default" w:ascii="仿宋_GB2312" w:hAnsi="仿宋_GB2312" w:eastAsia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具体目标</w:t>
      </w:r>
      <w:r>
        <w:rPr>
          <w:rFonts w:hint="eastAsia" w:ascii="仿宋_GB2312" w:hAnsi="仿宋_GB2312" w:eastAsia="仿宋_GB2312"/>
          <w:b/>
          <w:bCs/>
          <w:kern w:val="1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湛江市本级及下辖11各县（市、区）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“数字政府”公共财政综合管理平台预算域、执行域、核算域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在2021年5月顺利上线，确保地方财政平稳运行；</w:t>
      </w:r>
      <w:r>
        <w:rPr>
          <w:rFonts w:hint="eastAsia" w:ascii="仿宋_GB2312" w:hAnsi="仿宋_GB2312" w:eastAsia="仿宋_GB2312"/>
          <w:b/>
          <w:bCs/>
          <w:kern w:val="1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/>
          <w:b w:val="0"/>
          <w:bCs w:val="0"/>
          <w:kern w:val="1"/>
          <w:sz w:val="32"/>
          <w:szCs w:val="32"/>
          <w:lang w:val="en-US" w:eastAsia="zh-CN"/>
        </w:rPr>
        <w:t>在全省一张网基础上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建成全市一张网，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纵向（上下级财政部门互联）和横向（与本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地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预算单位、人行、代理行等互联）专网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打通；</w:t>
      </w:r>
      <w:r>
        <w:rPr>
          <w:rFonts w:hint="eastAsia" w:ascii="仿宋_GB2312" w:hAnsi="仿宋_GB2312" w:eastAsia="仿宋_GB2312"/>
          <w:b/>
          <w:bCs/>
          <w:kern w:val="1"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搭建“数字财政”智能运维平台，建立我市</w:t>
      </w:r>
      <w:r>
        <w:rPr>
          <w:rFonts w:hint="eastAsia" w:ascii="仿宋_GB2312" w:hAnsi="仿宋_GB2312" w:eastAsia="仿宋_GB2312"/>
          <w:kern w:val="1"/>
          <w:sz w:val="32"/>
          <w:szCs w:val="32"/>
          <w:lang w:val="zh-CN" w:eastAsia="zh-CN"/>
        </w:rPr>
        <w:t>“数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字财政”运维保障组织，有效利用智能运维系统保障本地运维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；</w:t>
      </w:r>
      <w:r>
        <w:rPr>
          <w:rFonts w:hint="eastAsia" w:ascii="仿宋_GB2312" w:hAnsi="仿宋_GB2312" w:eastAsia="仿宋_GB2312"/>
          <w:b/>
          <w:bCs/>
          <w:kern w:val="1"/>
          <w:sz w:val="32"/>
          <w:szCs w:val="32"/>
          <w:lang w:val="en-US" w:eastAsia="zh-CN"/>
        </w:rPr>
        <w:t>四是</w:t>
      </w:r>
      <w:r>
        <w:rPr>
          <w:rFonts w:hint="eastAsia" w:ascii="仿宋_GB2312" w:hAnsi="仿宋_GB2312" w:eastAsia="仿宋_GB2312"/>
          <w:b w:val="0"/>
          <w:bCs w:val="0"/>
          <w:kern w:val="1"/>
          <w:sz w:val="32"/>
          <w:szCs w:val="32"/>
          <w:lang w:val="en-US" w:eastAsia="zh-CN"/>
        </w:rPr>
        <w:t>加快推进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全市电子支付凭证库改造，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国库集中支付电子化作为执行域上线的必备功能同步完成；</w:t>
      </w:r>
      <w:r>
        <w:rPr>
          <w:rFonts w:hint="eastAsia" w:ascii="仿宋_GB2312" w:hAnsi="仿宋_GB2312" w:eastAsia="仿宋_GB2312"/>
          <w:b/>
          <w:bCs/>
          <w:kern w:val="1"/>
          <w:sz w:val="32"/>
          <w:szCs w:val="32"/>
          <w:lang w:val="en-US" w:eastAsia="zh-CN"/>
        </w:rPr>
        <w:t>五是</w:t>
      </w:r>
      <w:r>
        <w:rPr>
          <w:rFonts w:hint="eastAsia" w:ascii="仿宋_GB2312" w:hAnsi="仿宋_GB2312" w:eastAsia="仿宋_GB2312"/>
          <w:b w:val="0"/>
          <w:bCs w:val="0"/>
          <w:kern w:val="1"/>
          <w:sz w:val="32"/>
          <w:szCs w:val="32"/>
          <w:lang w:val="en-US" w:eastAsia="zh-CN"/>
        </w:rPr>
        <w:t>“</w:t>
      </w:r>
      <w:r>
        <w:rPr>
          <w:rFonts w:hint="eastAsia" w:ascii="仿宋_GB2312" w:hAnsi="仿宋_GB2312" w:eastAsia="仿宋_GB2312"/>
          <w:b w:val="0"/>
          <w:bCs w:val="0"/>
          <w:kern w:val="1"/>
          <w:sz w:val="32"/>
          <w:szCs w:val="32"/>
          <w:lang w:eastAsia="zh-CN"/>
        </w:rPr>
        <w:t>数字财政”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终端梳理改造，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对无法适配省财政厅预算一体化系统的终端进行梳理更换；</w:t>
      </w:r>
      <w:r>
        <w:rPr>
          <w:rFonts w:hint="eastAsia" w:ascii="仿宋_GB2312" w:hAnsi="仿宋_GB2312" w:eastAsia="仿宋_GB2312"/>
          <w:b/>
          <w:bCs/>
          <w:kern w:val="1"/>
          <w:sz w:val="32"/>
          <w:szCs w:val="32"/>
          <w:lang w:val="en-US" w:eastAsia="zh-CN"/>
        </w:rPr>
        <w:t>六是</w:t>
      </w:r>
      <w:r>
        <w:rPr>
          <w:rFonts w:hint="eastAsia" w:ascii="仿宋_GB2312" w:hAnsi="仿宋_GB2312" w:eastAsia="仿宋_GB2312"/>
          <w:b w:val="0"/>
          <w:bCs w:val="0"/>
          <w:kern w:val="1"/>
          <w:sz w:val="32"/>
          <w:szCs w:val="32"/>
          <w:lang w:val="en-US" w:eastAsia="zh-CN"/>
        </w:rPr>
        <w:t>进行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“数字财政”培训，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对财政部门、预算单位进行系统操作培训。</w:t>
      </w:r>
      <w:r>
        <w:rPr>
          <w:rFonts w:hint="eastAsia" w:ascii="仿宋_GB2312" w:hAnsi="仿宋_GB2312" w:eastAsia="仿宋_GB2312"/>
          <w:b/>
          <w:bCs/>
          <w:kern w:val="1"/>
          <w:sz w:val="32"/>
          <w:szCs w:val="32"/>
          <w:lang w:val="en-US" w:eastAsia="zh-CN"/>
        </w:rPr>
        <w:t>七是</w:t>
      </w:r>
      <w:r>
        <w:rPr>
          <w:rFonts w:hint="eastAsia" w:ascii="仿宋_GB2312" w:hAnsi="仿宋_GB2312" w:eastAsia="仿宋_GB2312"/>
          <w:b w:val="0"/>
          <w:bCs w:val="0"/>
          <w:kern w:val="1"/>
          <w:sz w:val="32"/>
          <w:szCs w:val="32"/>
          <w:lang w:val="en-US" w:eastAsia="zh-CN"/>
        </w:rPr>
        <w:t>购置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“数字财政”会议终端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，提高市县工作沟通交流效率。</w:t>
      </w:r>
      <w:r>
        <w:rPr>
          <w:rFonts w:hint="eastAsia" w:ascii="仿宋_GB2312" w:hAnsi="仿宋_GB2312" w:eastAsia="仿宋_GB2312"/>
          <w:b/>
          <w:bCs/>
          <w:kern w:val="1"/>
          <w:sz w:val="32"/>
          <w:szCs w:val="32"/>
          <w:lang w:val="en-US" w:eastAsia="zh-CN"/>
        </w:rPr>
        <w:t>八是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下达“数字财政”补助资金给各县（市、区），提高县（市、区）信息化建设水平，完成“数字财政”国库电子化改造建设相关事项。</w:t>
      </w:r>
    </w:p>
    <w:p>
      <w:pPr>
        <w:spacing w:line="600" w:lineRule="exact"/>
        <w:ind w:firstLine="600"/>
        <w:rPr>
          <w:rFonts w:hint="eastAsia" w:ascii="黑体" w:hAnsi="黑体" w:eastAsia="黑体" w:cs="黑体"/>
          <w:kern w:val="1"/>
          <w:sz w:val="32"/>
          <w:szCs w:val="32"/>
        </w:rPr>
      </w:pPr>
      <w:r>
        <w:rPr>
          <w:rFonts w:hint="eastAsia" w:ascii="黑体" w:hAnsi="黑体" w:eastAsia="黑体" w:cs="黑体"/>
          <w:kern w:val="1"/>
          <w:sz w:val="32"/>
          <w:szCs w:val="32"/>
        </w:rPr>
        <w:t>二、绩效自评工作开展情况</w:t>
      </w:r>
    </w:p>
    <w:p>
      <w:pPr>
        <w:spacing w:line="600" w:lineRule="exact"/>
        <w:ind w:firstLine="600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自评对象为湛江市财政局，范围为对数字财政经费的使用，绩效评价方法是计算各项目指标实际完成值和得分，包括项目完成数量、质量、时效、成本等情况，对照项目计划完成目标，对截止评价时点的任务量完成、质量标准、进度计划、成本控制目标的实现程度进行评价，并汇总得出绩效最终评价结果。</w:t>
      </w:r>
    </w:p>
    <w:p>
      <w:pPr>
        <w:spacing w:line="600" w:lineRule="exact"/>
        <w:ind w:firstLine="600"/>
        <w:rPr>
          <w:rFonts w:hint="eastAsia" w:ascii="黑体" w:hAnsi="黑体" w:eastAsia="黑体" w:cs="黑体"/>
          <w:kern w:val="1"/>
          <w:sz w:val="32"/>
          <w:szCs w:val="32"/>
        </w:rPr>
      </w:pPr>
      <w:r>
        <w:rPr>
          <w:rFonts w:hint="eastAsia" w:ascii="黑体" w:hAnsi="黑体" w:eastAsia="黑体" w:cs="黑体"/>
          <w:kern w:val="1"/>
          <w:sz w:val="32"/>
          <w:szCs w:val="32"/>
        </w:rPr>
        <w:t>三、绩效自评结果</w:t>
      </w:r>
    </w:p>
    <w:p>
      <w:pPr>
        <w:spacing w:line="600" w:lineRule="exact"/>
        <w:ind w:firstLine="600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整体完成2021年数字财政建设目标，自评分数为100，等级为优。</w:t>
      </w:r>
    </w:p>
    <w:p>
      <w:pPr>
        <w:numPr>
          <w:ilvl w:val="0"/>
          <w:numId w:val="2"/>
        </w:numPr>
        <w:spacing w:line="600" w:lineRule="exact"/>
        <w:ind w:firstLine="600"/>
        <w:rPr>
          <w:rFonts w:hint="eastAsia" w:ascii="黑体" w:hAnsi="黑体" w:eastAsia="黑体" w:cs="黑体"/>
          <w:kern w:val="1"/>
          <w:sz w:val="32"/>
          <w:szCs w:val="32"/>
        </w:rPr>
      </w:pPr>
      <w:r>
        <w:rPr>
          <w:rFonts w:hint="eastAsia" w:ascii="黑体" w:hAnsi="黑体" w:eastAsia="黑体" w:cs="黑体"/>
          <w:kern w:val="1"/>
          <w:sz w:val="32"/>
          <w:szCs w:val="32"/>
        </w:rPr>
        <w:t>项目资金使用绩效</w:t>
      </w:r>
    </w:p>
    <w:p>
      <w:pPr>
        <w:spacing w:line="600" w:lineRule="exact"/>
        <w:ind w:firstLine="600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/>
          <w:kern w:val="1"/>
          <w:sz w:val="32"/>
          <w:szCs w:val="32"/>
        </w:rPr>
        <w:t>（一）资金投入情况</w:t>
      </w:r>
    </w:p>
    <w:p>
      <w:pPr>
        <w:spacing w:line="600" w:lineRule="exact"/>
        <w:ind w:firstLine="600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年度预算数3000万元，调减1000万元，实际到位资金1937.22万元，市本级实际支出782.56万元，</w:t>
      </w:r>
      <w:r>
        <w:rPr>
          <w:rFonts w:hint="eastAsia" w:ascii="仿宋_GB2312" w:hAnsi="仿宋_GB2312" w:eastAsia="仿宋_GB2312"/>
          <w:color w:val="auto"/>
          <w:kern w:val="1"/>
          <w:sz w:val="32"/>
          <w:szCs w:val="32"/>
          <w:lang w:val="en-US" w:eastAsia="zh-CN"/>
        </w:rPr>
        <w:t>下达“数字财政”补助资金给各县（市、区）1154.66万元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。项目按计划组织实施，实施过程按照本单位制定的财务管理制度执行，资金使用规范有序，专款专用。</w:t>
      </w:r>
    </w:p>
    <w:p>
      <w:pPr>
        <w:spacing w:line="600" w:lineRule="exact"/>
        <w:ind w:firstLine="600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/>
          <w:kern w:val="1"/>
          <w:sz w:val="32"/>
          <w:szCs w:val="32"/>
        </w:rPr>
        <w:t>（二）绩效目标完成情况（结合项目实际，可从总体和分用途分析项目使用绩效）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/>
          <w:kern w:val="1"/>
          <w:sz w:val="32"/>
          <w:szCs w:val="32"/>
        </w:rPr>
        <w:t>1.产出指标预计完成情况。包括产出数量、质量、时效以及成本指标完成情况。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default" w:ascii="仿宋_GB2312" w:hAnsi="仿宋_GB2312" w:eastAsia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数量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指标。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系统开发数量1套，硬件采购数量2台，软件采购数量2套。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default" w:ascii="仿宋_GB2312" w:hAnsi="仿宋_GB2312" w:eastAsia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）质量指标。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系统验收合格率100%，系统功能实现率100%，系统正常运行率不低于90%，系统开发完成后免费运维服务年限1年，系统故障解决率100%，系统上线后日常运维人数不少于10人。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default" w:ascii="仿宋_GB2312" w:hAnsi="仿宋_GB2312" w:eastAsia="仿宋_GB2312"/>
          <w:kern w:val="1"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（3）时效指标。</w:t>
      </w:r>
      <w:r>
        <w:rPr>
          <w:rFonts w:hint="eastAsia" w:ascii="仿宋_GB2312" w:hAnsi="仿宋_GB2312" w:eastAsia="仿宋_GB2312"/>
          <w:b w:val="0"/>
          <w:bCs w:val="0"/>
          <w:kern w:val="1"/>
          <w:sz w:val="32"/>
          <w:szCs w:val="32"/>
          <w:lang w:eastAsia="zh-CN"/>
        </w:rPr>
        <w:t>系统故障修复平均响应时间少于</w:t>
      </w:r>
      <w:r>
        <w:rPr>
          <w:rFonts w:hint="eastAsia" w:ascii="仿宋_GB2312" w:hAnsi="仿宋_GB2312" w:eastAsia="仿宋_GB2312"/>
          <w:b w:val="0"/>
          <w:bCs w:val="0"/>
          <w:kern w:val="1"/>
          <w:sz w:val="32"/>
          <w:szCs w:val="32"/>
          <w:lang w:val="en-US" w:eastAsia="zh-CN"/>
        </w:rPr>
        <w:t>1小时，系统运行维护平均响应时间少于15分钟，系统建设时间5个月，系统故障平均处理时间少于1小时。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" w:firstLineChars="200"/>
        <w:textAlignment w:val="auto"/>
        <w:rPr>
          <w:rFonts w:hint="default" w:ascii="仿宋_GB2312" w:hAnsi="仿宋_GB2312" w:eastAsia="仿宋_GB2312"/>
          <w:color w:val="auto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kern w:val="1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color w:val="auto"/>
          <w:kern w:val="1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color w:val="auto"/>
          <w:kern w:val="1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/>
          <w:color w:val="auto"/>
          <w:kern w:val="1"/>
          <w:sz w:val="32"/>
          <w:szCs w:val="32"/>
        </w:rPr>
        <w:t>成本指标。</w:t>
      </w:r>
      <w:r>
        <w:rPr>
          <w:rFonts w:hint="eastAsia" w:ascii="仿宋_GB2312" w:hAnsi="仿宋_GB2312" w:eastAsia="仿宋_GB2312"/>
          <w:color w:val="auto"/>
          <w:kern w:val="1"/>
          <w:sz w:val="32"/>
          <w:szCs w:val="32"/>
          <w:lang w:val="en-US" w:eastAsia="zh-CN"/>
        </w:rPr>
        <w:t>软件费用112 万元，系统运维费用41.5万元，硬件采购费用50.94万元，系统建设费用578.12</w:t>
      </w:r>
      <w:bookmarkStart w:id="0" w:name="_GoBack"/>
      <w:bookmarkEnd w:id="0"/>
      <w:r>
        <w:rPr>
          <w:rFonts w:hint="eastAsia" w:ascii="仿宋_GB2312" w:hAnsi="仿宋_GB2312" w:eastAsia="仿宋_GB2312"/>
          <w:color w:val="auto"/>
          <w:kern w:val="1"/>
          <w:sz w:val="32"/>
          <w:szCs w:val="32"/>
          <w:lang w:val="en-US" w:eastAsia="zh-CN"/>
        </w:rPr>
        <w:t>万元，下达“数字财政”补助资金给各县（市、区）1154.66万元。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_GB2312" w:hAnsi="仿宋_GB2312" w:eastAsia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/>
          <w:kern w:val="1"/>
          <w:sz w:val="32"/>
          <w:szCs w:val="32"/>
        </w:rPr>
        <w:t>2.效益指标预计完成情况。包括项目产生的经济效益、社会效益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、可持续性指标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default" w:ascii="仿宋_GB2312" w:hAnsi="仿宋_GB2312" w:eastAsia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经济效益指标。确保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预算一体化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系统全年正常运行；保证网络系统架构合理、安全可靠，确保数据安全运行；推进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市财政局“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数字财政”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建设稳步向前，提高工作效率，使我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各级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财政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能更好地为人民服务，实现惠民目标。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系统使用率不低于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80%，办理业务成本平均下降率不低于50%，年度维护成本增加，不高于20%。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社会效益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指标。提高财政管理水平</w:t>
      </w:r>
      <w:r>
        <w:rPr>
          <w:rFonts w:hint="eastAsia" w:ascii="仿宋_GB2312" w:hAnsi="仿宋_GB2312" w:eastAsia="仿宋_GB2312"/>
          <w:kern w:val="1"/>
          <w:sz w:val="32"/>
          <w:szCs w:val="32"/>
        </w:rPr>
        <w:t>，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提高财政部门工作效率，办理业务平均耗时下降率不低于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70%，业务办理信息化率80%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default" w:ascii="仿宋_GB2312" w:hAnsi="仿宋_GB2312" w:eastAsia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）生态效益指标。业务办理无纸化率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70%，系统运行能耗下降率不低于10%。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kern w:val="1"/>
          <w:sz w:val="32"/>
          <w:szCs w:val="32"/>
          <w:lang w:eastAsia="zh-CN"/>
        </w:rPr>
        <w:t>）可持续性指标。系统正常使用年限，不少于</w:t>
      </w: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5年。</w:t>
      </w:r>
    </w:p>
    <w:p>
      <w:pPr>
        <w:spacing w:line="600" w:lineRule="exact"/>
        <w:ind w:firstLine="600"/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kern w:val="1"/>
          <w:sz w:val="32"/>
          <w:szCs w:val="32"/>
          <w:lang w:val="en-US" w:eastAsia="zh-CN"/>
        </w:rPr>
        <w:t>（5）满意度指标，预算单位满意度预计达到95%。</w:t>
      </w:r>
    </w:p>
    <w:p>
      <w:pPr>
        <w:spacing w:line="600" w:lineRule="exact"/>
        <w:ind w:firstLine="600"/>
        <w:rPr>
          <w:rFonts w:hint="eastAsia" w:ascii="黑体" w:hAnsi="黑体" w:eastAsia="黑体" w:cs="黑体"/>
          <w:kern w:val="1"/>
          <w:sz w:val="32"/>
          <w:szCs w:val="32"/>
        </w:rPr>
      </w:pPr>
      <w:r>
        <w:rPr>
          <w:rFonts w:hint="eastAsia" w:ascii="黑体" w:hAnsi="黑体" w:eastAsia="黑体" w:cs="黑体"/>
          <w:kern w:val="1"/>
          <w:sz w:val="32"/>
          <w:szCs w:val="32"/>
        </w:rPr>
        <w:t>五、主要经验、存在的问题和偏离绩效目标的原因分析</w:t>
      </w:r>
    </w:p>
    <w:p>
      <w:pPr>
        <w:spacing w:line="600" w:lineRule="exact"/>
        <w:ind w:firstLine="600"/>
        <w:rPr>
          <w:rFonts w:hint="default" w:ascii="仿宋_GB2312" w:hAnsi="仿宋_GB2312" w:eastAsia="仿宋_GB2312" w:cs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1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主要经验</w:t>
      </w:r>
    </w:p>
    <w:p>
      <w:pPr>
        <w:spacing w:line="600" w:lineRule="exact"/>
        <w:ind w:firstLine="600"/>
        <w:rPr>
          <w:rFonts w:hint="eastAsia" w:ascii="仿宋_GB2312" w:hAnsi="仿宋_GB2312" w:eastAsia="仿宋_GB2312" w:cs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在编制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年初预算时，结合主要工作任务，依据上年度项目资金绩效情况，合理分配项目资金，设置项目支出绩效目标和指标值。年度预算执行中，加强项目绩效运行监控，根据情况变化，及时按程序调整修订绩效目标和指标值、调整资金使用方向，加强资金使用情况的跟踪问效。年度终了，切实做好绩效自评工作，根据项目资金使用绩效情况，在编制下一年度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预算时，合理分配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数字财政”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预算项目资金。</w:t>
      </w:r>
    </w:p>
    <w:p>
      <w:pPr>
        <w:spacing w:line="600" w:lineRule="exact"/>
        <w:ind w:firstLine="600"/>
        <w:rPr>
          <w:rFonts w:hint="default" w:ascii="仿宋_GB2312" w:hAnsi="仿宋_GB2312" w:eastAsia="仿宋_GB2312" w:cs="仿宋_GB2312"/>
          <w:kern w:val="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1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存在问题</w:t>
      </w:r>
    </w:p>
    <w:p>
      <w:pPr>
        <w:spacing w:line="600" w:lineRule="exact"/>
        <w:ind w:firstLine="600"/>
        <w:rPr>
          <w:rFonts w:hint="eastAsia" w:ascii="仿宋_GB2312" w:hAnsi="仿宋_GB2312" w:eastAsia="仿宋_GB2312" w:cs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绩效管理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极具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专业性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复杂性，预算绩效管理基础工作有待进一步加强。</w:t>
      </w:r>
    </w:p>
    <w:p>
      <w:pPr>
        <w:spacing w:line="600" w:lineRule="exact"/>
        <w:ind w:firstLine="600"/>
        <w:rPr>
          <w:rFonts w:hint="eastAsia" w:ascii="黑体" w:hAnsi="黑体" w:eastAsia="黑体" w:cs="黑体"/>
          <w:kern w:val="1"/>
          <w:sz w:val="32"/>
          <w:szCs w:val="32"/>
        </w:rPr>
      </w:pPr>
      <w:r>
        <w:rPr>
          <w:rFonts w:hint="eastAsia" w:ascii="黑体" w:hAnsi="黑体" w:eastAsia="黑体" w:cs="黑体"/>
          <w:kern w:val="1"/>
          <w:sz w:val="32"/>
          <w:szCs w:val="32"/>
        </w:rPr>
        <w:t>六、改进意见</w:t>
      </w:r>
    </w:p>
    <w:p>
      <w:pPr>
        <w:spacing w:line="600" w:lineRule="exact"/>
        <w:ind w:firstLine="600"/>
        <w:rPr>
          <w:rFonts w:hint="eastAsia" w:ascii="仿宋_GB2312" w:hAnsi="仿宋_GB2312" w:eastAsia="仿宋_GB2312" w:cs="仿宋_GB2312"/>
          <w:kern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</w:rPr>
        <w:t>加强对单位预算绩效管理人员的培训，提升绩效评价人员的业务水平。</w:t>
      </w:r>
      <w:r>
        <w:rPr>
          <w:rFonts w:hint="eastAsia" w:ascii="仿宋_GB2312" w:hAnsi="仿宋_GB2312" w:eastAsia="仿宋_GB2312" w:cs="仿宋_GB2312"/>
          <w:kern w:val="1"/>
          <w:sz w:val="32"/>
          <w:szCs w:val="32"/>
          <w:lang w:val="en-US" w:eastAsia="zh-CN"/>
        </w:rPr>
        <w:t>二是细化预算编制工作，提高预算编制准确性，做好项目调查规划工作，进一步提高预算执行率。三是加强内部控制建设，完善项目管理制度，促进项目管理工作深度开展。</w:t>
      </w:r>
    </w:p>
    <w:p>
      <w:pPr>
        <w:spacing w:line="600" w:lineRule="exact"/>
        <w:ind w:firstLine="600"/>
        <w:rPr>
          <w:rFonts w:hint="eastAsia" w:ascii="黑体" w:hAnsi="黑体" w:eastAsia="黑体" w:cs="黑体"/>
          <w:kern w:val="1"/>
          <w:sz w:val="32"/>
          <w:szCs w:val="32"/>
        </w:rPr>
      </w:pPr>
      <w:r>
        <w:rPr>
          <w:rFonts w:hint="eastAsia" w:ascii="黑体" w:hAnsi="黑体" w:eastAsia="黑体" w:cs="黑体"/>
          <w:kern w:val="1"/>
          <w:sz w:val="32"/>
          <w:szCs w:val="32"/>
        </w:rPr>
        <w:t>七、绩效自评结果拟应用和公开情况</w:t>
      </w:r>
    </w:p>
    <w:p>
      <w:pPr>
        <w:spacing w:line="620" w:lineRule="exact"/>
        <w:ind w:firstLine="588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拟在门户网站对自评结果进行公开。</w:t>
      </w:r>
    </w:p>
    <w:p>
      <w:pPr>
        <w:spacing w:line="620" w:lineRule="exact"/>
        <w:ind w:firstLine="588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620" w:lineRule="exact"/>
        <w:ind w:firstLine="588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620" w:lineRule="exact"/>
        <w:rPr>
          <w:sz w:val="32"/>
          <w:szCs w:val="32"/>
        </w:rPr>
      </w:pPr>
    </w:p>
    <w:p/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720" w:num="1"/>
      <w:docGrid w:type="linesAndChars" w:linePitch="606" w:charSpace="-532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separate"/>
    </w:r>
    <w:r>
      <w:rPr>
        <w:rStyle w:val="4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958435"/>
    <w:multiLevelType w:val="singleLevel"/>
    <w:tmpl w:val="DA9584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F0BE44D"/>
    <w:multiLevelType w:val="singleLevel"/>
    <w:tmpl w:val="5F0BE44D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12E67"/>
    <w:rsid w:val="03D872F4"/>
    <w:rsid w:val="04512E67"/>
    <w:rsid w:val="07890325"/>
    <w:rsid w:val="08A96B36"/>
    <w:rsid w:val="0A5D6412"/>
    <w:rsid w:val="16851BC1"/>
    <w:rsid w:val="2F867A54"/>
    <w:rsid w:val="306E6360"/>
    <w:rsid w:val="4535242A"/>
    <w:rsid w:val="497105FA"/>
    <w:rsid w:val="4F2251B2"/>
    <w:rsid w:val="54364DA0"/>
    <w:rsid w:val="559E64E2"/>
    <w:rsid w:val="5ACE4BB0"/>
    <w:rsid w:val="5BC310B3"/>
    <w:rsid w:val="62930DD1"/>
    <w:rsid w:val="6AC83E39"/>
    <w:rsid w:val="6F7F07BF"/>
    <w:rsid w:val="70622922"/>
    <w:rsid w:val="75CC5ADC"/>
    <w:rsid w:val="7654527C"/>
    <w:rsid w:val="7796071D"/>
    <w:rsid w:val="7CF07A9B"/>
    <w:rsid w:val="7D485CB4"/>
    <w:rsid w:val="7EB6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2218</Words>
  <Characters>2332</Characters>
  <Lines>0</Lines>
  <Paragraphs>0</Paragraphs>
  <TotalTime>16</TotalTime>
  <ScaleCrop>false</ScaleCrop>
  <LinksUpToDate>false</LinksUpToDate>
  <CharactersWithSpaces>2333</CharactersWithSpaces>
  <Application>WPS Office_11.1.0.7832_F1E327BC-269C-435d-A152-05C5408002CA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2022-04-19T03:15:00Z</dcterms:created>
  <dc:creator>Wshu</dc:creator>
  <cp:lastModifiedBy>Administrator</cp:lastModifiedBy>
  <dcterms:modified xsi:type="dcterms:W3CDTF">2022-05-26T01:11:02Z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2052-11.1.0.7832</vt:lpwstr>
  </property>
  <property fmtid="{D5CDD505-2E9C-101B-9397-08002B2CF9AE}" pid="3" name="ICV">
    <vt:lpwstr>6628CC3DD4DF4837B0571A93B99099B8</vt:lpwstr>
  </property>
</Properties>
</file>