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湛江市粮食局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2018</w:t>
      </w:r>
      <w:r>
        <w:rPr>
          <w:rFonts w:hint="eastAsia" w:ascii="宋体" w:hAnsi="宋体"/>
          <w:b/>
          <w:sz w:val="44"/>
          <w:szCs w:val="44"/>
        </w:rPr>
        <w:t>年部门</w:t>
      </w:r>
      <w:r>
        <w:rPr>
          <w:rFonts w:hint="eastAsia" w:ascii="宋体" w:hAnsi="宋体"/>
          <w:b/>
          <w:sz w:val="44"/>
          <w:szCs w:val="44"/>
          <w:lang w:eastAsia="zh-CN"/>
        </w:rPr>
        <w:t>“三公”经费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2018年，一般公共预算拨款“三公”经费支出合计11.80万元，跟上年持平。其中：因公出国（境）费4万元，占33.90%，公务接待费1.2万元，占10.17%，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主要原因是严格执行中央八项规定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，严控公务接待开支，公务接待活动减少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正常公务接待活动的费用支出基本趋于平稳。根据公车改革方案，2018年无公务用车购置计划，</w:t>
      </w:r>
      <w:r>
        <w:rPr>
          <w:rFonts w:hint="eastAsia" w:ascii="仿宋" w:hAnsi="仿宋" w:eastAsia="仿宋" w:cs="仿宋"/>
          <w:sz w:val="32"/>
          <w:szCs w:val="32"/>
        </w:rPr>
        <w:t>公务用车购置及运行费6.6万元，占55.93%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主要原因是公务用车运行保有量不变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09B"/>
    <w:rsid w:val="00042157"/>
    <w:rsid w:val="00290C36"/>
    <w:rsid w:val="00431CDA"/>
    <w:rsid w:val="005A056B"/>
    <w:rsid w:val="005B303E"/>
    <w:rsid w:val="00604A16"/>
    <w:rsid w:val="006332AA"/>
    <w:rsid w:val="009A009B"/>
    <w:rsid w:val="00B032B7"/>
    <w:rsid w:val="00B77590"/>
    <w:rsid w:val="00DC7597"/>
    <w:rsid w:val="00E002B5"/>
    <w:rsid w:val="00E513D1"/>
    <w:rsid w:val="1C5E504B"/>
    <w:rsid w:val="2A280A2D"/>
    <w:rsid w:val="32194C2D"/>
    <w:rsid w:val="3E20231A"/>
    <w:rsid w:val="4BC73CA9"/>
    <w:rsid w:val="7173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6</Pages>
  <Words>415</Words>
  <Characters>2371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2018-02-05T02:27:00Z</dcterms:created>
  <dc:creator>吴文思</dc:creator>
  <cp:lastModifiedBy>Administrator</cp:lastModifiedBy>
  <dcterms:modified xsi:type="dcterms:W3CDTF">2026-06-05T08:13:19Z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