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Helvetica" w:hAnsi="Helvetica" w:cs="Helvetica"/>
          <w:b/>
          <w:color w:val="000000"/>
          <w:sz w:val="44"/>
          <w:szCs w:val="44"/>
          <w:shd w:val="clear" w:color="auto" w:fill="FFFFFF"/>
          <w:lang w:eastAsia="zh-CN"/>
        </w:rPr>
        <w:t>会计师事务所分所执业许可审批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72"/>
          <w:szCs w:val="72"/>
        </w:rPr>
      </w:pPr>
      <w:r>
        <w:rPr>
          <w:rFonts w:hint="eastAsia" w:ascii="仿宋_GB2312" w:hAnsi="宋体" w:eastAsia="仿宋_GB2312" w:cs="宋体"/>
          <w:b/>
          <w:bCs/>
          <w:kern w:val="0"/>
          <w:sz w:val="72"/>
          <w:szCs w:val="72"/>
          <w:lang w:eastAsia="zh-CN"/>
        </w:rPr>
        <w:t>业务</w:t>
      </w:r>
      <w:r>
        <w:rPr>
          <w:rFonts w:hint="eastAsia" w:ascii="仿宋_GB2312" w:hAnsi="宋体" w:eastAsia="仿宋_GB2312" w:cs="宋体"/>
          <w:b/>
          <w:bCs/>
          <w:kern w:val="0"/>
          <w:sz w:val="72"/>
          <w:szCs w:val="72"/>
        </w:rPr>
        <w:t>手册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湛江市财政局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月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Helvetica" w:hAnsi="Helvetica" w:eastAsia="仿宋_GB2312" w:cs="Helvetica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湛江市财政局对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会计师事务所分所执业许可审批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办事指南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09"/>
        <w:gridCol w:w="8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事项名称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pStyle w:val="8"/>
              <w:jc w:val="both"/>
              <w:textAlignment w:val="baseline"/>
              <w:rPr>
                <w:rFonts w:hint="eastAsia" w:ascii="Helvetica" w:hAnsi="Helvetica" w:cs="Times New Roman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ascii="Helvetica" w:hAnsi="Helvetica" w:cs="Times New Roman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会计师事务所分所执业许可审批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法律依据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关于公布《广东省人民政府关于调整实施一批省级权责清单事项的决定》的令（此文非主动公开）粤府令第270号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省财政厅将会计师事务所（含分所）执业许可审批事项委托至各地级以上市财政部门（不含深圳市）办理。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widowControl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instrText xml:space="preserve"> HYPERLINK "http://www.gd.gov.cn/zwgk/wjk/zcfgk/content/post_2520835.html" \t "_blank" </w:instrTex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《会计师事务所执业许可和监督管理办法》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（2017年财政部令第89号,2019年1月2日财政部令第97号修改）第七、二十八条</w:t>
            </w:r>
          </w:p>
          <w:p>
            <w:pPr>
              <w:widowControl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第七条 会计师事务所应当自领取营业执照之日起60日内，向所在地的省级财政部门申请执业许可。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第二十八条 会计师事务所申请分所执业许可，应当自领取分所营业执照之日起60日内，向分所所在地的省级财政部门提出申请。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instrText xml:space="preserve"> HYPERLINK "http://www.gd.gov.cn/zwgk/wjk/zcfgk/content/post_2521619.html" \t "_blank" </w:instrTex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《中华人民共和国注册会计师法》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主席令第十四号第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）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二十五、二十七条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第二十五条 设立会计师事务所，由省、自治区、直辖市人民政府财政部门批准。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第二十七条 会计师事务所设立分支机构，须经分支机构所在地的省、自治区、直辖市人民政府财政部门批准。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审批条件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根据财政部令第97号：</w:t>
            </w:r>
          </w:p>
          <w:p>
            <w:pPr>
              <w:widowControl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第二十九条 申请分所执业许可的会计师事务所，应当具备下列条件：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（一）取得会计师事务所执业许可3年以上，内部管理制度健全； 　　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（二）不少于50名注册会计师（已到和拟到分所执业的注册会计师除外）；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（三）申请设立分所前3年内没有因为执业行为受到行政处罚。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跨省级行政区划申请分所执业许可的，会计师事务所上一年度业务收入应当达到2000万元以上。因合并或者分立新设的会计师事务所申请分所执业许可的，其取得会计师事务所执业许可的期限，可以从合并或者分立前会计师事务所取得执业许可的时间算起。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第三十条 会计师事务所申请分所执业许可，该分所应当具备下列条件：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（一）分所负责人为会计师事务所的合伙人（股东），并具有注册会计师执业资格；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（二）不少于5名注册会计师，且注册会计师的执业关系应当转入分所所在地省级注册会计师协会；由总所人员兼任分所负责人的，其执业关系可以不作变动，但不计入本项规定的5名注册会计师；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（三）有经营场所。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申请材料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会计师事务所分所执业许可申请表 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；</w:t>
            </w:r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eastAsia="zh-CN"/>
              </w:rPr>
              <w:t>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会计师事务所合伙人会议或者股东会作出的设立分所的书面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决议；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申请表格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申请表格下载网址：</w:t>
            </w:r>
            <w:bookmarkStart w:id="0" w:name="_GoBack"/>
            <w:bookmarkEnd w:id="0"/>
          </w:p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instrText xml:space="preserve"> HYPERLINK "https://www.gdzwfw.gov.cn/portal/guide/1144080000708897373440110002001" </w:instrTex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Style w:val="6"/>
                <w:rFonts w:ascii="Helvetica" w:hAnsi="Helvetica"/>
                <w:sz w:val="20"/>
                <w:szCs w:val="20"/>
                <w:shd w:val="clear" w:color="auto" w:fill="FFFFFF"/>
              </w:rPr>
              <w:t>https://www.gdzwfw.gov.cn/portal/guide/1144080000708897373440110002001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办理程序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申请—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eastAsia="zh-CN"/>
              </w:rPr>
              <w:t>审核—受理并复核—公示—作出许可决定—准予许可（或不予许可）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办理时限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收费依据和标准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所出证照及有效期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widowControl/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办理地点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湛江市人民政府行政服务中心二楼综合服务窗口254-256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0759-3220</w:t>
            </w: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795、3223508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监督电话</w:t>
            </w:r>
          </w:p>
        </w:tc>
        <w:tc>
          <w:tcPr>
            <w:tcW w:w="8076" w:type="dxa"/>
            <w:noWrap w:val="0"/>
            <w:vAlign w:val="center"/>
          </w:tcPr>
          <w:p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/>
                <w:color w:val="000000"/>
                <w:sz w:val="20"/>
                <w:szCs w:val="20"/>
                <w:shd w:val="clear" w:color="auto" w:fill="FFFFFF"/>
              </w:rPr>
              <w:t>0759-3197099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C6FF8"/>
    <w:rsid w:val="246750DB"/>
    <w:rsid w:val="28883D61"/>
    <w:rsid w:val="32E376F7"/>
    <w:rsid w:val="3F34299C"/>
    <w:rsid w:val="42223F29"/>
    <w:rsid w:val="4ADE262A"/>
    <w:rsid w:val="51505BD3"/>
    <w:rsid w:val="6E2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matters-trunc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2020-12-17T00:56:00Z</dcterms:created>
  <dc:creator>lenovo</dc:creator>
  <cp:lastModifiedBy>俞骏</cp:lastModifiedBy>
  <dcterms:modified xsi:type="dcterms:W3CDTF">2021-12-20T02:43:47Z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AE32B52E94FB402E9364794F91D5819E</vt:lpwstr>
  </property>
</Properties>
</file>