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2018 年度</w:t>
      </w:r>
      <w:r>
        <w:rPr>
          <w:rFonts w:hint="eastAsia" w:ascii="仿宋_GB2312" w:hAnsi="仿宋_GB2312" w:eastAsia="仿宋_GB2312" w:cs="仿宋_GB2312"/>
          <w:b/>
          <w:bCs/>
          <w:sz w:val="44"/>
          <w:szCs w:val="44"/>
          <w:lang w:eastAsia="zh-CN"/>
        </w:rPr>
        <w:t>湛江市粮食局本级部门</w:t>
      </w:r>
      <w:r>
        <w:rPr>
          <w:rFonts w:hint="eastAsia" w:ascii="仿宋_GB2312" w:hAnsi="仿宋_GB2312" w:eastAsia="仿宋_GB2312" w:cs="仿宋_GB2312"/>
          <w:b/>
          <w:bCs/>
          <w:sz w:val="44"/>
          <w:szCs w:val="44"/>
        </w:rPr>
        <w:t>预算公开</w:t>
      </w: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目录</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第一部分2018 年</w:t>
      </w:r>
      <w:r>
        <w:rPr>
          <w:rFonts w:hint="eastAsia" w:ascii="仿宋_GB2312" w:hAnsi="仿宋_GB2312" w:eastAsia="仿宋_GB2312" w:cs="仿宋_GB2312"/>
          <w:sz w:val="32"/>
          <w:szCs w:val="32"/>
          <w:u w:val="none"/>
          <w:lang w:eastAsia="zh-CN"/>
        </w:rPr>
        <w:t>湛江市粮食局本级</w:t>
      </w:r>
      <w:r>
        <w:rPr>
          <w:rFonts w:hint="eastAsia" w:ascii="仿宋_GB2312" w:hAnsi="仿宋_GB2312" w:eastAsia="仿宋_GB2312" w:cs="仿宋_GB2312"/>
          <w:sz w:val="32"/>
          <w:szCs w:val="32"/>
        </w:rPr>
        <w:t>部门预算基本情况说明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四、"三公"经费说明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第二部分2018 年</w:t>
      </w:r>
      <w:r>
        <w:rPr>
          <w:rFonts w:hint="eastAsia" w:ascii="仿宋_GB2312" w:hAnsi="仿宋_GB2312" w:eastAsia="仿宋_GB2312" w:cs="仿宋_GB2312"/>
          <w:sz w:val="32"/>
          <w:szCs w:val="32"/>
          <w:u w:val="none"/>
          <w:lang w:eastAsia="zh-CN"/>
        </w:rPr>
        <w:t>湛江市粮食局本级</w:t>
      </w:r>
      <w:r>
        <w:rPr>
          <w:rFonts w:hint="eastAsia" w:ascii="仿宋_GB2312" w:hAnsi="仿宋_GB2312" w:eastAsia="仿宋_GB2312" w:cs="仿宋_GB2312"/>
          <w:sz w:val="32"/>
          <w:szCs w:val="32"/>
        </w:rPr>
        <w:t>部门预算表</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一、2018年财政拨款收支总表</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二、2018年一般公共预算支出表</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三、2018年一般公共预算基本支出表（部门经济分类）</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四、2018年一般公共预算基本支出表（政府经济分类）</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五、2018年一般公共预算“三公”经费支出表</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六、2018年政府性基金预算支出表</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七、2018年部门收支总表</w:t>
      </w:r>
    </w:p>
    <w:p>
      <w:pPr>
        <w:pStyle w:val="7"/>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八、2018年部门收入表</w:t>
      </w:r>
    </w:p>
    <w:p>
      <w:pPr>
        <w:pStyle w:val="7"/>
        <w:snapToGrid w:val="0"/>
        <w:spacing w:line="600" w:lineRule="exact"/>
        <w:ind w:firstLine="640"/>
        <w:rPr>
          <w:rFonts w:hint="eastAsia" w:ascii="仿宋_GB2312" w:eastAsia="仿宋_GB2312"/>
        </w:rPr>
      </w:pPr>
      <w:r>
        <w:rPr>
          <w:rFonts w:hint="eastAsia" w:ascii="仿宋_GB2312" w:hAnsi="仿宋_GB2312" w:eastAsia="仿宋_GB2312" w:cs="仿宋_GB2312"/>
        </w:rPr>
        <w:t>九、2018年部门支出表</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20" w:lineRule="exact"/>
        <w:jc w:val="center"/>
        <w:rPr>
          <w:rFonts w:hint="eastAsia" w:ascii="仿宋_GB2312" w:eastAsia="仿宋_GB2312"/>
          <w:sz w:val="44"/>
          <w:szCs w:val="44"/>
        </w:rPr>
      </w:pPr>
    </w:p>
    <w:p>
      <w:pPr>
        <w:jc w:val="center"/>
        <w:rPr>
          <w:rFonts w:ascii="宋体"/>
          <w:b/>
          <w:sz w:val="44"/>
          <w:szCs w:val="44"/>
        </w:rPr>
      </w:pPr>
      <w:r>
        <w:rPr>
          <w:rFonts w:ascii="宋体" w:hAnsi="宋体"/>
          <w:b/>
          <w:sz w:val="44"/>
          <w:szCs w:val="44"/>
        </w:rPr>
        <w:t>2018</w:t>
      </w:r>
      <w:r>
        <w:rPr>
          <w:rFonts w:hint="eastAsia" w:ascii="宋体" w:hAnsi="宋体"/>
          <w:b/>
          <w:sz w:val="44"/>
          <w:szCs w:val="44"/>
        </w:rPr>
        <w:t>年湛江市粮食局</w:t>
      </w:r>
      <w:r>
        <w:rPr>
          <w:rFonts w:hint="eastAsia" w:ascii="宋体" w:hAnsi="宋体"/>
          <w:b/>
          <w:sz w:val="44"/>
          <w:szCs w:val="44"/>
          <w:lang w:eastAsia="zh-CN"/>
        </w:rPr>
        <w:t>本级</w:t>
      </w:r>
    </w:p>
    <w:p>
      <w:pPr>
        <w:jc w:val="center"/>
        <w:rPr>
          <w:rFonts w:ascii="宋体"/>
          <w:b/>
          <w:sz w:val="44"/>
          <w:szCs w:val="44"/>
        </w:rPr>
      </w:pPr>
      <w:r>
        <w:rPr>
          <w:rFonts w:hint="eastAsia" w:ascii="宋体" w:hAnsi="宋体"/>
          <w:b/>
          <w:sz w:val="44"/>
          <w:szCs w:val="44"/>
        </w:rPr>
        <w:t>部门预算基本情况说明</w:t>
      </w:r>
    </w:p>
    <w:p>
      <w:pPr>
        <w:pStyle w:val="6"/>
        <w:numPr>
          <w:ilvl w:val="0"/>
          <w:numId w:val="1"/>
        </w:numPr>
        <w:ind w:left="0" w:firstLine="720" w:firstLineChars="0"/>
        <w:rPr>
          <w:rFonts w:ascii="仿宋" w:hAnsi="仿宋" w:eastAsia="仿宋"/>
          <w:b/>
          <w:sz w:val="32"/>
          <w:szCs w:val="32"/>
        </w:rPr>
      </w:pPr>
      <w:r>
        <w:rPr>
          <w:rFonts w:hint="eastAsia" w:ascii="仿宋" w:hAnsi="仿宋" w:eastAsia="仿宋"/>
          <w:b/>
          <w:sz w:val="32"/>
          <w:szCs w:val="32"/>
        </w:rPr>
        <w:t>部门基本情况</w:t>
      </w:r>
    </w:p>
    <w:p>
      <w:pPr>
        <w:pStyle w:val="6"/>
        <w:numPr>
          <w:ilvl w:val="0"/>
          <w:numId w:val="2"/>
        </w:numPr>
        <w:ind w:firstLineChars="0"/>
        <w:rPr>
          <w:rFonts w:ascii="仿宋" w:hAnsi="仿宋" w:eastAsia="仿宋"/>
          <w:b/>
          <w:sz w:val="32"/>
          <w:szCs w:val="32"/>
        </w:rPr>
      </w:pPr>
      <w:r>
        <w:rPr>
          <w:rFonts w:hint="eastAsia" w:ascii="仿宋" w:hAnsi="仿宋" w:eastAsia="仿宋"/>
          <w:b/>
          <w:sz w:val="32"/>
          <w:szCs w:val="32"/>
        </w:rPr>
        <w:t>部门机构设置、职能</w:t>
      </w:r>
    </w:p>
    <w:p>
      <w:pPr>
        <w:ind w:firstLine="640" w:firstLineChars="200"/>
        <w:rPr>
          <w:rFonts w:ascii="仿宋" w:hAnsi="仿宋" w:eastAsia="仿宋"/>
          <w:sz w:val="32"/>
          <w:szCs w:val="32"/>
        </w:rPr>
      </w:pPr>
      <w:r>
        <w:rPr>
          <w:rFonts w:hint="eastAsia" w:ascii="仿宋" w:hAnsi="仿宋" w:eastAsia="仿宋"/>
          <w:sz w:val="32"/>
          <w:szCs w:val="32"/>
        </w:rPr>
        <w:t>市粮食局是经湛江市人民政府批准的成立的参照公务员管理的事业单位，是市政府负责全市粮食流通、储备、行业指导的工作部门。内设办公室、军粮供应管理办公室（统计财务科）、调控储运科、监督检查科、老干科五个职能科室。主要职责为：办公室是协助局领导处理机关日常工作，建立健全机关内部管理制度；负责文电运转、秘书实务、政务信息、宣传报道、重要会议的会务和决定事项的督办工作；负责保密、档案、信访、接待、环境卫生、物业管理工作；负责局机关的干部管理、党务、人事、劳动工资、安全保卫、纪检监察、工会、共青团、妇女、计划生育等工作；军粮供应管理办公室（统计财务科）是落实国家和省军粮供应管理办法，负责军粮供应、决算、网点布局，汇总全市军供报表，管理军粮及专项资金，组织驻湛部队食用植物油供应管理；军粮质量监督，军供网点的基础设施建设和军粮证、卡的管理。负责财会审计工作，管理粮食风险基金、专项粮食补贴资金和粮食基建资金；负责专项资金、补贴、储备粮费用的结算、拨补；管理固定资产和机关财务；指导、监督粮食系统财务工作；组织实施财务会计制度和内部审计工作；汇编全市粮食行业财务会计报表和财务分析工作；研究拟订财务监督管理的规章制度及措施。监督、检查计划的执行和各级粮食总量平衡落实情况；负责汇总全社会粮食流通统计报表和统计分析工作，指导全社会涉粮企业粮食流通统计工作；调控储运科是落实国家和省有关粮食购销政策，制定全市粮食流通和储备的中长期规划，年度计划和具体实施办法；协调落实粮食工作考评制度；做好粮食市场供求情况的检测预警分析，指导基层粮食收购工作；研究提出并协调落实应急措施；管理全市各级储备粮，研究提出并组织实施市级储备粮收储、轮换计划的总体布局意见；负责全市仓储设施的规划建设、改造和维修；执行国家粮油质量标准和粮油检测制度，监督落实全市粮油保管防化、安全生产工作；汇编全市仓储报表；监督检查科是监督检查全市粮食流通体制改革有关政策，以及粮食流通和地方储备粮有关法律、法规、政策、规章制度的执行情况；负责中央、省储备粮代储资格认定初审、市级储备粮代储资格条件确认工作；监督检查地方储备粮计划和技术规范的执行情况；监督检查全市粮油储存和市级储备粮库存、质量和安全情况；指导各地粮食行政管理部门对粮食经营者从事粮食收购、储存、运输活动和政策性用粮的购销活动，以及执行粮食流通统计制度情况进行监督检查；负责市管权限的粮食收购资格申请受理审核，指导各地粮食行政管理部门开展粮食收购资格审核、陈化粮购买资格审核和监督检查；负责粮食流通体制改革工作；负责本局的行政复议、行政诉讼和法制工作；老干部科是组织离退休干部学习文件和参加政治活动，发挥离退休干部在社会主义两个文明建设中的作用；负责离退休干部的医疗保健、生活福利等服务工作；会同有关部门办理离退休干部的丧葬和善后处理事宜。</w:t>
      </w:r>
    </w:p>
    <w:p>
      <w:pPr>
        <w:pStyle w:val="6"/>
        <w:numPr>
          <w:ilvl w:val="0"/>
          <w:numId w:val="2"/>
        </w:numPr>
        <w:ind w:firstLineChars="0"/>
        <w:rPr>
          <w:rFonts w:ascii="仿宋" w:hAnsi="仿宋" w:eastAsia="仿宋"/>
          <w:b/>
          <w:sz w:val="32"/>
          <w:szCs w:val="32"/>
        </w:rPr>
      </w:pPr>
      <w:r>
        <w:rPr>
          <w:rFonts w:hint="eastAsia" w:ascii="仿宋" w:hAnsi="仿宋" w:eastAsia="仿宋"/>
          <w:b/>
          <w:sz w:val="32"/>
          <w:szCs w:val="32"/>
        </w:rPr>
        <w:t>人员构成情况</w:t>
      </w:r>
    </w:p>
    <w:p>
      <w:pPr>
        <w:ind w:firstLine="640" w:firstLineChars="200"/>
        <w:rPr>
          <w:rFonts w:ascii="仿宋" w:hAnsi="仿宋" w:eastAsia="仿宋"/>
          <w:sz w:val="32"/>
          <w:szCs w:val="32"/>
        </w:rPr>
      </w:pPr>
      <w:r>
        <w:rPr>
          <w:rFonts w:hint="eastAsia" w:ascii="仿宋" w:hAnsi="仿宋" w:eastAsia="仿宋"/>
          <w:sz w:val="32"/>
          <w:szCs w:val="32"/>
        </w:rPr>
        <w:t>我局本级机关总编制共</w:t>
      </w:r>
      <w:r>
        <w:rPr>
          <w:rFonts w:ascii="仿宋" w:hAnsi="仿宋" w:eastAsia="仿宋"/>
          <w:sz w:val="32"/>
          <w:szCs w:val="32"/>
        </w:rPr>
        <w:t>24</w:t>
      </w:r>
      <w:r>
        <w:rPr>
          <w:rFonts w:hint="eastAsia" w:ascii="仿宋" w:hAnsi="仿宋" w:eastAsia="仿宋"/>
          <w:sz w:val="32"/>
          <w:szCs w:val="32"/>
        </w:rPr>
        <w:t>人，实有在职人数</w:t>
      </w:r>
      <w:r>
        <w:rPr>
          <w:rFonts w:ascii="仿宋" w:hAnsi="仿宋" w:eastAsia="仿宋"/>
          <w:sz w:val="32"/>
          <w:szCs w:val="32"/>
        </w:rPr>
        <w:t>21</w:t>
      </w:r>
      <w:r>
        <w:rPr>
          <w:rFonts w:hint="eastAsia" w:ascii="仿宋" w:hAnsi="仿宋" w:eastAsia="仿宋"/>
          <w:sz w:val="32"/>
          <w:szCs w:val="32"/>
        </w:rPr>
        <w:t>人（其中：全额雇佣制后勤人员</w:t>
      </w:r>
      <w:r>
        <w:rPr>
          <w:rFonts w:ascii="仿宋" w:hAnsi="仿宋" w:eastAsia="仿宋"/>
          <w:sz w:val="32"/>
          <w:szCs w:val="32"/>
        </w:rPr>
        <w:t>1</w:t>
      </w:r>
      <w:r>
        <w:rPr>
          <w:rFonts w:hint="eastAsia" w:ascii="仿宋" w:hAnsi="仿宋" w:eastAsia="仿宋"/>
          <w:sz w:val="32"/>
          <w:szCs w:val="32"/>
        </w:rPr>
        <w:t>人），离休人员共</w:t>
      </w:r>
      <w:r>
        <w:rPr>
          <w:rFonts w:ascii="仿宋" w:hAnsi="仿宋" w:eastAsia="仿宋"/>
          <w:sz w:val="32"/>
          <w:szCs w:val="32"/>
        </w:rPr>
        <w:t>6</w:t>
      </w:r>
      <w:r>
        <w:rPr>
          <w:rFonts w:hint="eastAsia" w:ascii="仿宋" w:hAnsi="仿宋" w:eastAsia="仿宋"/>
          <w:sz w:val="32"/>
          <w:szCs w:val="32"/>
        </w:rPr>
        <w:t>人，退休人员</w:t>
      </w:r>
      <w:r>
        <w:rPr>
          <w:rFonts w:ascii="仿宋" w:hAnsi="仿宋" w:eastAsia="仿宋"/>
          <w:sz w:val="32"/>
          <w:szCs w:val="32"/>
        </w:rPr>
        <w:t>73</w:t>
      </w:r>
      <w:r>
        <w:rPr>
          <w:rFonts w:hint="eastAsia" w:ascii="仿宋" w:hAnsi="仿宋" w:eastAsia="仿宋"/>
          <w:sz w:val="32"/>
          <w:szCs w:val="32"/>
        </w:rPr>
        <w:t>人。</w:t>
      </w:r>
    </w:p>
    <w:p>
      <w:pPr>
        <w:spacing w:line="620" w:lineRule="exact"/>
        <w:ind w:firstLine="600"/>
        <w:rPr>
          <w:rFonts w:ascii="仿宋" w:hAnsi="仿宋" w:eastAsia="仿宋"/>
          <w:b/>
          <w:sz w:val="32"/>
          <w:szCs w:val="32"/>
        </w:rPr>
      </w:pPr>
      <w:r>
        <w:rPr>
          <w:rFonts w:hint="eastAsia" w:ascii="仿宋" w:hAnsi="仿宋" w:eastAsia="仿宋"/>
          <w:b/>
          <w:sz w:val="32"/>
          <w:szCs w:val="32"/>
        </w:rPr>
        <w:t>（三）预算年度的主要工作任务</w:t>
      </w:r>
    </w:p>
    <w:p>
      <w:pPr>
        <w:spacing w:line="620" w:lineRule="exact"/>
        <w:ind w:firstLine="600"/>
        <w:rPr>
          <w:rFonts w:ascii="仿宋" w:hAnsi="仿宋" w:eastAsia="仿宋"/>
          <w:sz w:val="32"/>
          <w:szCs w:val="32"/>
        </w:rPr>
      </w:pPr>
      <w:r>
        <w:rPr>
          <w:rFonts w:hint="eastAsia" w:ascii="仿宋" w:hAnsi="仿宋" w:eastAsia="仿宋"/>
          <w:sz w:val="32"/>
          <w:szCs w:val="32"/>
        </w:rPr>
        <w:t>完成职能内工作以及省粮食局和市委、市政府交办工作，重点落实储备粮收储管理和驻军部门军供粮油管理工作，稳定辖区内粮油市场价格波动，筹措和管理粮食风险基金和粮油各项补贴资金，确保辖区内粮食安全。</w:t>
      </w:r>
    </w:p>
    <w:p>
      <w:pPr>
        <w:spacing w:line="620" w:lineRule="exact"/>
        <w:ind w:firstLine="600"/>
        <w:rPr>
          <w:rFonts w:ascii="仿宋" w:hAnsi="仿宋" w:eastAsia="仿宋"/>
          <w:b/>
          <w:sz w:val="32"/>
          <w:szCs w:val="32"/>
        </w:rPr>
      </w:pPr>
      <w:r>
        <w:rPr>
          <w:rFonts w:hint="eastAsia" w:ascii="仿宋" w:hAnsi="仿宋" w:eastAsia="仿宋"/>
          <w:b/>
          <w:sz w:val="32"/>
          <w:szCs w:val="32"/>
        </w:rPr>
        <w:t>二、收入预算说明</w:t>
      </w:r>
    </w:p>
    <w:p>
      <w:pPr>
        <w:spacing w:line="620" w:lineRule="exact"/>
        <w:ind w:firstLine="6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年收入预算</w:t>
      </w:r>
      <w:r>
        <w:rPr>
          <w:rFonts w:ascii="仿宋" w:hAnsi="仿宋" w:eastAsia="仿宋"/>
          <w:sz w:val="32"/>
          <w:szCs w:val="32"/>
        </w:rPr>
        <w:t>10603.11</w:t>
      </w:r>
      <w:r>
        <w:rPr>
          <w:rFonts w:hint="eastAsia" w:ascii="仿宋" w:hAnsi="仿宋" w:eastAsia="仿宋"/>
          <w:sz w:val="32"/>
          <w:szCs w:val="32"/>
        </w:rPr>
        <w:t>万元，比上年增加</w:t>
      </w:r>
      <w:r>
        <w:rPr>
          <w:rFonts w:ascii="仿宋" w:hAnsi="仿宋" w:eastAsia="仿宋"/>
          <w:sz w:val="32"/>
          <w:szCs w:val="32"/>
        </w:rPr>
        <w:t>9007.27</w:t>
      </w:r>
      <w:r>
        <w:rPr>
          <w:rFonts w:hint="eastAsia" w:ascii="仿宋" w:hAnsi="仿宋" w:eastAsia="仿宋"/>
          <w:sz w:val="32"/>
          <w:szCs w:val="32"/>
        </w:rPr>
        <w:t>万元，增长了</w:t>
      </w:r>
      <w:r>
        <w:rPr>
          <w:rFonts w:ascii="仿宋" w:hAnsi="仿宋" w:eastAsia="仿宋"/>
          <w:sz w:val="32"/>
          <w:szCs w:val="32"/>
        </w:rPr>
        <w:t>564.42%</w:t>
      </w:r>
      <w:r>
        <w:rPr>
          <w:rFonts w:hint="eastAsia" w:ascii="仿宋" w:hAnsi="仿宋" w:eastAsia="仿宋"/>
          <w:sz w:val="32"/>
          <w:szCs w:val="32"/>
        </w:rPr>
        <w:t>。增长主要原因是项目支出增加了</w:t>
      </w:r>
      <w:r>
        <w:rPr>
          <w:rFonts w:ascii="仿宋" w:hAnsi="仿宋" w:eastAsia="仿宋"/>
          <w:sz w:val="32"/>
          <w:szCs w:val="32"/>
        </w:rPr>
        <w:t>9003.78</w:t>
      </w:r>
      <w:r>
        <w:rPr>
          <w:rFonts w:hint="eastAsia" w:ascii="仿宋" w:hAnsi="仿宋" w:eastAsia="仿宋"/>
          <w:sz w:val="32"/>
          <w:szCs w:val="32"/>
        </w:rPr>
        <w:t>万元（含市级储备粮油利费补贴</w:t>
      </w:r>
      <w:r>
        <w:rPr>
          <w:rFonts w:ascii="仿宋" w:hAnsi="仿宋" w:eastAsia="仿宋"/>
          <w:sz w:val="32"/>
          <w:szCs w:val="32"/>
        </w:rPr>
        <w:t>8897</w:t>
      </w:r>
      <w:r>
        <w:rPr>
          <w:rFonts w:hint="eastAsia" w:ascii="仿宋" w:hAnsi="仿宋" w:eastAsia="仿宋"/>
          <w:sz w:val="32"/>
          <w:szCs w:val="32"/>
        </w:rPr>
        <w:t>万元，市级储备粮油仓库维修补助</w:t>
      </w:r>
      <w:r>
        <w:rPr>
          <w:rFonts w:ascii="仿宋" w:hAnsi="仿宋" w:eastAsia="仿宋"/>
          <w:sz w:val="32"/>
          <w:szCs w:val="32"/>
        </w:rPr>
        <w:t>230</w:t>
      </w:r>
      <w:r>
        <w:rPr>
          <w:rFonts w:hint="eastAsia" w:ascii="仿宋" w:hAnsi="仿宋" w:eastAsia="仿宋"/>
          <w:sz w:val="32"/>
          <w:szCs w:val="32"/>
        </w:rPr>
        <w:t>万元及其他粮油专项经费）及人员工资及其他补贴增加。</w:t>
      </w:r>
    </w:p>
    <w:p>
      <w:pPr>
        <w:spacing w:line="620" w:lineRule="exact"/>
        <w:ind w:left="720"/>
        <w:rPr>
          <w:rFonts w:ascii="仿宋" w:hAnsi="仿宋" w:eastAsia="仿宋"/>
          <w:b/>
          <w:sz w:val="32"/>
          <w:szCs w:val="32"/>
        </w:rPr>
      </w:pPr>
      <w:r>
        <w:rPr>
          <w:rFonts w:hint="eastAsia" w:ascii="仿宋" w:hAnsi="仿宋" w:eastAsia="仿宋"/>
          <w:b/>
          <w:sz w:val="32"/>
          <w:szCs w:val="32"/>
        </w:rPr>
        <w:t>三、支出预算说明</w:t>
      </w:r>
    </w:p>
    <w:p>
      <w:pPr>
        <w:spacing w:line="620" w:lineRule="exact"/>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年支出预算</w:t>
      </w:r>
      <w:r>
        <w:rPr>
          <w:rFonts w:ascii="仿宋" w:hAnsi="仿宋" w:eastAsia="仿宋"/>
          <w:sz w:val="32"/>
          <w:szCs w:val="32"/>
        </w:rPr>
        <w:t>10603.11</w:t>
      </w:r>
      <w:r>
        <w:rPr>
          <w:rFonts w:hint="eastAsia" w:ascii="仿宋" w:hAnsi="仿宋" w:eastAsia="仿宋"/>
          <w:sz w:val="32"/>
          <w:szCs w:val="32"/>
        </w:rPr>
        <w:t>万元，比上年增加</w:t>
      </w:r>
      <w:r>
        <w:rPr>
          <w:rFonts w:ascii="仿宋" w:hAnsi="仿宋" w:eastAsia="仿宋"/>
          <w:sz w:val="32"/>
          <w:szCs w:val="32"/>
        </w:rPr>
        <w:t>9007.27</w:t>
      </w:r>
      <w:r>
        <w:rPr>
          <w:rFonts w:hint="eastAsia" w:ascii="仿宋" w:hAnsi="仿宋" w:eastAsia="仿宋"/>
          <w:sz w:val="32"/>
          <w:szCs w:val="32"/>
        </w:rPr>
        <w:t>万元，增长了</w:t>
      </w:r>
      <w:r>
        <w:rPr>
          <w:rFonts w:ascii="仿宋" w:hAnsi="仿宋" w:eastAsia="仿宋"/>
          <w:sz w:val="32"/>
          <w:szCs w:val="32"/>
        </w:rPr>
        <w:t>564.42%</w:t>
      </w:r>
      <w:r>
        <w:rPr>
          <w:rFonts w:hint="eastAsia" w:ascii="仿宋" w:hAnsi="仿宋" w:eastAsia="仿宋"/>
          <w:sz w:val="32"/>
          <w:szCs w:val="32"/>
        </w:rPr>
        <w:t>。其中基本支出预算</w:t>
      </w:r>
      <w:r>
        <w:rPr>
          <w:rFonts w:ascii="仿宋" w:hAnsi="仿宋" w:eastAsia="仿宋"/>
          <w:sz w:val="32"/>
          <w:szCs w:val="32"/>
        </w:rPr>
        <w:t>1060.33</w:t>
      </w:r>
      <w:r>
        <w:rPr>
          <w:rFonts w:hint="eastAsia" w:ascii="仿宋" w:hAnsi="仿宋" w:eastAsia="仿宋"/>
          <w:sz w:val="32"/>
          <w:szCs w:val="32"/>
        </w:rPr>
        <w:t>万元，占</w:t>
      </w:r>
      <w:r>
        <w:rPr>
          <w:rFonts w:ascii="仿宋" w:hAnsi="仿宋" w:eastAsia="仿宋"/>
          <w:sz w:val="32"/>
          <w:szCs w:val="32"/>
        </w:rPr>
        <w:t>10%</w:t>
      </w:r>
      <w:r>
        <w:rPr>
          <w:rFonts w:hint="eastAsia" w:ascii="仿宋" w:hAnsi="仿宋" w:eastAsia="仿宋"/>
          <w:sz w:val="32"/>
          <w:szCs w:val="32"/>
        </w:rPr>
        <w:t>，比上年增加</w:t>
      </w:r>
      <w:r>
        <w:rPr>
          <w:rFonts w:ascii="仿宋" w:hAnsi="仿宋" w:eastAsia="仿宋"/>
          <w:sz w:val="32"/>
          <w:szCs w:val="32"/>
        </w:rPr>
        <w:t>4.49</w:t>
      </w:r>
      <w:r>
        <w:rPr>
          <w:rFonts w:hint="eastAsia" w:ascii="仿宋" w:hAnsi="仿宋" w:eastAsia="仿宋"/>
          <w:sz w:val="32"/>
          <w:szCs w:val="32"/>
        </w:rPr>
        <w:t>万元；项目支出预算</w:t>
      </w:r>
      <w:r>
        <w:rPr>
          <w:rFonts w:ascii="仿宋" w:hAnsi="仿宋" w:eastAsia="仿宋"/>
          <w:sz w:val="32"/>
          <w:szCs w:val="32"/>
        </w:rPr>
        <w:t>9542.78</w:t>
      </w:r>
      <w:r>
        <w:rPr>
          <w:rFonts w:hint="eastAsia" w:ascii="仿宋" w:hAnsi="仿宋" w:eastAsia="仿宋"/>
          <w:sz w:val="32"/>
          <w:szCs w:val="32"/>
        </w:rPr>
        <w:t>万元，占</w:t>
      </w:r>
      <w:r>
        <w:rPr>
          <w:rFonts w:ascii="仿宋" w:hAnsi="仿宋" w:eastAsia="仿宋"/>
          <w:sz w:val="32"/>
          <w:szCs w:val="32"/>
        </w:rPr>
        <w:t>90%</w:t>
      </w:r>
      <w:r>
        <w:rPr>
          <w:rFonts w:hint="eastAsia" w:ascii="仿宋" w:hAnsi="仿宋" w:eastAsia="仿宋"/>
          <w:sz w:val="32"/>
          <w:szCs w:val="32"/>
        </w:rPr>
        <w:t>，比上年增加了</w:t>
      </w:r>
      <w:r>
        <w:rPr>
          <w:rFonts w:ascii="仿宋" w:hAnsi="仿宋" w:eastAsia="仿宋"/>
          <w:sz w:val="32"/>
          <w:szCs w:val="32"/>
        </w:rPr>
        <w:t>9002.78</w:t>
      </w:r>
      <w:r>
        <w:rPr>
          <w:rFonts w:hint="eastAsia" w:ascii="仿宋" w:hAnsi="仿宋" w:eastAsia="仿宋"/>
          <w:sz w:val="32"/>
          <w:szCs w:val="32"/>
        </w:rPr>
        <w:t>万元</w:t>
      </w:r>
      <w:r>
        <w:rPr>
          <w:rFonts w:ascii="仿宋" w:hAnsi="仿宋" w:eastAsia="仿宋"/>
          <w:sz w:val="32"/>
          <w:szCs w:val="32"/>
        </w:rPr>
        <w:t>.</w:t>
      </w:r>
    </w:p>
    <w:p>
      <w:pPr>
        <w:spacing w:line="620" w:lineRule="exact"/>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年支出按政府经济分类划分：机关工资福利支出</w:t>
      </w:r>
      <w:r>
        <w:rPr>
          <w:rFonts w:ascii="仿宋" w:hAnsi="仿宋" w:eastAsia="仿宋"/>
          <w:sz w:val="32"/>
          <w:szCs w:val="32"/>
        </w:rPr>
        <w:t>420.47</w:t>
      </w:r>
      <w:r>
        <w:rPr>
          <w:rFonts w:hint="eastAsia" w:ascii="仿宋" w:hAnsi="仿宋" w:eastAsia="仿宋"/>
          <w:sz w:val="32"/>
          <w:szCs w:val="32"/>
        </w:rPr>
        <w:t>万元，机关商品和服务支出</w:t>
      </w:r>
      <w:r>
        <w:rPr>
          <w:rFonts w:ascii="仿宋" w:hAnsi="仿宋" w:eastAsia="仿宋"/>
          <w:sz w:val="32"/>
          <w:szCs w:val="32"/>
        </w:rPr>
        <w:t>676.50</w:t>
      </w:r>
      <w:r>
        <w:rPr>
          <w:rFonts w:hint="eastAsia" w:ascii="仿宋" w:hAnsi="仿宋" w:eastAsia="仿宋"/>
          <w:sz w:val="32"/>
          <w:szCs w:val="32"/>
        </w:rPr>
        <w:t>万元，对个人和家庭的补助</w:t>
      </w:r>
      <w:r>
        <w:rPr>
          <w:rFonts w:ascii="仿宋" w:hAnsi="仿宋" w:eastAsia="仿宋"/>
          <w:sz w:val="32"/>
          <w:szCs w:val="32"/>
        </w:rPr>
        <w:t>564.14</w:t>
      </w:r>
      <w:r>
        <w:rPr>
          <w:rFonts w:hint="eastAsia" w:ascii="仿宋" w:hAnsi="仿宋" w:eastAsia="仿宋"/>
          <w:sz w:val="32"/>
          <w:szCs w:val="32"/>
        </w:rPr>
        <w:t>万元，其他收入</w:t>
      </w:r>
      <w:r>
        <w:rPr>
          <w:rFonts w:ascii="仿宋" w:hAnsi="仿宋" w:eastAsia="仿宋"/>
          <w:sz w:val="32"/>
          <w:szCs w:val="32"/>
        </w:rPr>
        <w:t>8942</w:t>
      </w:r>
      <w:r>
        <w:rPr>
          <w:rFonts w:hint="eastAsia" w:ascii="仿宋" w:hAnsi="仿宋" w:eastAsia="仿宋"/>
          <w:sz w:val="32"/>
          <w:szCs w:val="32"/>
        </w:rPr>
        <w:t>万元；按照部门经济分类划分：基本支出预算</w:t>
      </w:r>
      <w:r>
        <w:rPr>
          <w:rFonts w:ascii="仿宋" w:hAnsi="仿宋" w:eastAsia="仿宋"/>
          <w:sz w:val="32"/>
          <w:szCs w:val="32"/>
        </w:rPr>
        <w:t>1060.33</w:t>
      </w:r>
      <w:r>
        <w:rPr>
          <w:rFonts w:hint="eastAsia" w:ascii="仿宋" w:hAnsi="仿宋" w:eastAsia="仿宋"/>
          <w:sz w:val="32"/>
          <w:szCs w:val="32"/>
        </w:rPr>
        <w:t>万元，占</w:t>
      </w:r>
      <w:r>
        <w:rPr>
          <w:rFonts w:ascii="仿宋" w:hAnsi="仿宋" w:eastAsia="仿宋"/>
          <w:sz w:val="32"/>
          <w:szCs w:val="32"/>
        </w:rPr>
        <w:t>10%</w:t>
      </w:r>
      <w:r>
        <w:rPr>
          <w:rFonts w:hint="eastAsia" w:ascii="仿宋" w:hAnsi="仿宋" w:eastAsia="仿宋"/>
          <w:sz w:val="32"/>
          <w:szCs w:val="32"/>
        </w:rPr>
        <w:t>。其中：工资福利支出</w:t>
      </w:r>
      <w:r>
        <w:rPr>
          <w:rFonts w:ascii="仿宋" w:hAnsi="仿宋" w:eastAsia="仿宋"/>
          <w:sz w:val="32"/>
          <w:szCs w:val="32"/>
        </w:rPr>
        <w:t>420.47</w:t>
      </w:r>
      <w:r>
        <w:rPr>
          <w:rFonts w:hint="eastAsia" w:ascii="仿宋" w:hAnsi="仿宋" w:eastAsia="仿宋"/>
          <w:sz w:val="32"/>
          <w:szCs w:val="32"/>
        </w:rPr>
        <w:t>万元（比上年增加了</w:t>
      </w:r>
      <w:r>
        <w:rPr>
          <w:rFonts w:ascii="仿宋" w:hAnsi="仿宋" w:eastAsia="仿宋"/>
          <w:sz w:val="32"/>
          <w:szCs w:val="32"/>
        </w:rPr>
        <w:t>131.65</w:t>
      </w:r>
      <w:r>
        <w:rPr>
          <w:rFonts w:hint="eastAsia" w:ascii="仿宋" w:hAnsi="仿宋" w:eastAsia="仿宋"/>
          <w:sz w:val="32"/>
          <w:szCs w:val="32"/>
        </w:rPr>
        <w:t>万元），对个人和家庭的补助</w:t>
      </w:r>
      <w:r>
        <w:rPr>
          <w:rFonts w:ascii="仿宋" w:hAnsi="仿宋" w:eastAsia="仿宋"/>
          <w:sz w:val="32"/>
          <w:szCs w:val="32"/>
        </w:rPr>
        <w:t>564.14</w:t>
      </w:r>
      <w:r>
        <w:rPr>
          <w:rFonts w:hint="eastAsia" w:ascii="仿宋" w:hAnsi="仿宋" w:eastAsia="仿宋"/>
          <w:sz w:val="32"/>
          <w:szCs w:val="32"/>
        </w:rPr>
        <w:t>万元（比上年减少了</w:t>
      </w:r>
      <w:r>
        <w:rPr>
          <w:rFonts w:ascii="仿宋" w:hAnsi="仿宋" w:eastAsia="仿宋"/>
          <w:sz w:val="32"/>
          <w:szCs w:val="32"/>
        </w:rPr>
        <w:t>131.36</w:t>
      </w:r>
      <w:r>
        <w:rPr>
          <w:rFonts w:hint="eastAsia" w:ascii="仿宋" w:hAnsi="仿宋" w:eastAsia="仿宋"/>
          <w:sz w:val="32"/>
          <w:szCs w:val="32"/>
        </w:rPr>
        <w:t>万元），商品和服务支出</w:t>
      </w:r>
      <w:r>
        <w:rPr>
          <w:rFonts w:ascii="仿宋" w:hAnsi="仿宋" w:eastAsia="仿宋"/>
          <w:sz w:val="32"/>
          <w:szCs w:val="32"/>
        </w:rPr>
        <w:t>75.72</w:t>
      </w:r>
      <w:r>
        <w:rPr>
          <w:rFonts w:hint="eastAsia" w:ascii="仿宋" w:hAnsi="仿宋" w:eastAsia="仿宋"/>
          <w:sz w:val="32"/>
          <w:szCs w:val="32"/>
        </w:rPr>
        <w:t>万元（比上年增加了</w:t>
      </w:r>
      <w:r>
        <w:rPr>
          <w:rFonts w:ascii="仿宋" w:hAnsi="仿宋" w:eastAsia="仿宋"/>
          <w:sz w:val="32"/>
          <w:szCs w:val="32"/>
        </w:rPr>
        <w:t>4.2</w:t>
      </w:r>
      <w:r>
        <w:rPr>
          <w:rFonts w:hint="eastAsia" w:ascii="仿宋" w:hAnsi="仿宋" w:eastAsia="仿宋"/>
          <w:sz w:val="32"/>
          <w:szCs w:val="32"/>
        </w:rPr>
        <w:t>万元）；项目支出</w:t>
      </w:r>
      <w:r>
        <w:rPr>
          <w:rFonts w:ascii="仿宋" w:hAnsi="仿宋" w:eastAsia="仿宋"/>
          <w:sz w:val="32"/>
          <w:szCs w:val="32"/>
        </w:rPr>
        <w:t>9542.78</w:t>
      </w:r>
      <w:r>
        <w:rPr>
          <w:rFonts w:hint="eastAsia" w:ascii="仿宋" w:hAnsi="仿宋" w:eastAsia="仿宋"/>
          <w:sz w:val="32"/>
          <w:szCs w:val="32"/>
        </w:rPr>
        <w:t>万元，占</w:t>
      </w:r>
      <w:r>
        <w:rPr>
          <w:rFonts w:ascii="仿宋" w:hAnsi="仿宋" w:eastAsia="仿宋"/>
          <w:sz w:val="32"/>
          <w:szCs w:val="32"/>
        </w:rPr>
        <w:t>90%</w:t>
      </w:r>
      <w:r>
        <w:rPr>
          <w:rFonts w:hint="eastAsia" w:ascii="仿宋" w:hAnsi="仿宋" w:eastAsia="仿宋"/>
          <w:sz w:val="32"/>
          <w:szCs w:val="32"/>
        </w:rPr>
        <w:t>，比上年增加了</w:t>
      </w:r>
      <w:r>
        <w:rPr>
          <w:rFonts w:ascii="仿宋" w:hAnsi="仿宋" w:eastAsia="仿宋"/>
          <w:sz w:val="32"/>
          <w:szCs w:val="32"/>
        </w:rPr>
        <w:t>9002.78</w:t>
      </w:r>
      <w:r>
        <w:rPr>
          <w:rFonts w:hint="eastAsia" w:ascii="仿宋" w:hAnsi="仿宋" w:eastAsia="仿宋"/>
          <w:sz w:val="32"/>
          <w:szCs w:val="32"/>
        </w:rPr>
        <w:t>万元。</w:t>
      </w:r>
    </w:p>
    <w:p>
      <w:pPr>
        <w:numPr>
          <w:ilvl w:val="0"/>
          <w:numId w:val="3"/>
        </w:numPr>
        <w:ind w:firstLine="643" w:firstLineChars="200"/>
        <w:rPr>
          <w:rFonts w:ascii="仿宋" w:hAnsi="仿宋" w:eastAsia="仿宋"/>
          <w:b/>
          <w:bCs/>
          <w:sz w:val="32"/>
          <w:szCs w:val="32"/>
        </w:rPr>
      </w:pPr>
      <w:r>
        <w:rPr>
          <w:rFonts w:hint="eastAsia" w:ascii="仿宋" w:hAnsi="仿宋" w:eastAsia="仿宋"/>
          <w:b/>
          <w:bCs/>
          <w:sz w:val="32"/>
          <w:szCs w:val="32"/>
        </w:rPr>
        <w:t>“三公”经费说明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2018年，一般公共预算拨款“三公”经费支出合计11.80万元，跟上年持平。其中：因公出国（境）费4万元，占33.90%，公务接待费1.2万元，占10.17%，</w:t>
      </w:r>
      <w:r>
        <w:rPr>
          <w:rFonts w:hint="eastAsia" w:ascii="仿宋" w:hAnsi="仿宋" w:eastAsia="仿宋" w:cs="仿宋"/>
          <w:sz w:val="32"/>
          <w:szCs w:val="32"/>
          <w:lang w:eastAsia="zh-CN"/>
        </w:rPr>
        <w:t>，</w:t>
      </w:r>
      <w:r>
        <w:rPr>
          <w:rFonts w:hint="eastAsia" w:ascii="仿宋" w:hAnsi="仿宋" w:eastAsia="仿宋" w:cs="仿宋"/>
          <w:b w:val="0"/>
          <w:i w:val="0"/>
          <w:caps w:val="0"/>
          <w:color w:val="484848"/>
          <w:spacing w:val="0"/>
          <w:sz w:val="32"/>
          <w:szCs w:val="32"/>
          <w:shd w:val="clear" w:fill="FFFFFF"/>
        </w:rPr>
        <w:t>主要原因是严格执行中央“八项规定”，严控公务接待开支，公务接待活动减少</w:t>
      </w:r>
      <w:r>
        <w:rPr>
          <w:rFonts w:hint="eastAsia" w:ascii="仿宋" w:hAnsi="仿宋" w:eastAsia="仿宋" w:cs="仿宋"/>
          <w:b w:val="0"/>
          <w:i w:val="0"/>
          <w:caps w:val="0"/>
          <w:color w:val="484848"/>
          <w:spacing w:val="0"/>
          <w:sz w:val="32"/>
          <w:szCs w:val="32"/>
          <w:shd w:val="clear" w:fill="FFFFFF"/>
          <w:lang w:eastAsia="zh-CN"/>
        </w:rPr>
        <w:t>，</w:t>
      </w:r>
      <w:r>
        <w:rPr>
          <w:rFonts w:hint="eastAsia" w:ascii="仿宋" w:hAnsi="仿宋" w:eastAsia="仿宋" w:cs="仿宋"/>
          <w:b w:val="0"/>
          <w:i w:val="0"/>
          <w:caps w:val="0"/>
          <w:color w:val="484848"/>
          <w:spacing w:val="0"/>
          <w:sz w:val="32"/>
          <w:szCs w:val="32"/>
          <w:shd w:val="clear" w:fill="FFFFFF"/>
        </w:rPr>
        <w:t>正常公务接待活动的费用支出基本趋于平稳。根据公车改革方案，2018年无公务用车购置计划，</w:t>
      </w:r>
      <w:r>
        <w:rPr>
          <w:rFonts w:hint="eastAsia" w:ascii="仿宋" w:hAnsi="仿宋" w:eastAsia="仿宋" w:cs="仿宋"/>
          <w:sz w:val="32"/>
          <w:szCs w:val="32"/>
        </w:rPr>
        <w:t>公务用车购置及运行费6.6万元，占55.93%</w:t>
      </w:r>
      <w:r>
        <w:rPr>
          <w:rFonts w:hint="eastAsia" w:ascii="仿宋" w:hAnsi="仿宋" w:eastAsia="仿宋" w:cs="仿宋"/>
          <w:sz w:val="32"/>
          <w:szCs w:val="32"/>
          <w:lang w:eastAsia="zh-CN"/>
        </w:rPr>
        <w:t>，</w:t>
      </w:r>
      <w:r>
        <w:rPr>
          <w:rFonts w:hint="eastAsia" w:ascii="仿宋" w:hAnsi="仿宋" w:eastAsia="仿宋" w:cs="仿宋"/>
          <w:b w:val="0"/>
          <w:i w:val="0"/>
          <w:caps w:val="0"/>
          <w:color w:val="484848"/>
          <w:spacing w:val="0"/>
          <w:sz w:val="32"/>
          <w:szCs w:val="32"/>
          <w:shd w:val="clear" w:fill="FFFFFF"/>
        </w:rPr>
        <w:t>主要原因是公务用车运行保有量不变</w:t>
      </w:r>
      <w:r>
        <w:rPr>
          <w:rFonts w:hint="eastAsia" w:ascii="仿宋" w:hAnsi="仿宋" w:eastAsia="仿宋" w:cs="仿宋"/>
          <w:sz w:val="32"/>
          <w:szCs w:val="32"/>
        </w:rPr>
        <w:t>。</w:t>
      </w:r>
    </w:p>
    <w:p>
      <w:pPr>
        <w:numPr>
          <w:ilvl w:val="0"/>
          <w:numId w:val="3"/>
        </w:numPr>
        <w:ind w:firstLine="643" w:firstLineChars="200"/>
        <w:rPr>
          <w:rFonts w:ascii="仿宋" w:hAnsi="仿宋" w:eastAsia="仿宋"/>
          <w:b/>
          <w:sz w:val="32"/>
          <w:szCs w:val="32"/>
        </w:rPr>
      </w:pPr>
      <w:r>
        <w:rPr>
          <w:rFonts w:hint="eastAsia" w:ascii="仿宋" w:hAnsi="仿宋" w:eastAsia="仿宋"/>
          <w:b/>
          <w:sz w:val="32"/>
          <w:szCs w:val="32"/>
          <w:lang w:eastAsia="zh-CN"/>
        </w:rPr>
        <w:t>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ascii="仿宋" w:hAnsi="仿宋" w:eastAsia="仿宋"/>
          <w:b/>
          <w:sz w:val="32"/>
          <w:szCs w:val="32"/>
        </w:rPr>
      </w:pPr>
      <w:r>
        <w:rPr>
          <w:rFonts w:hint="eastAsia" w:ascii="仿宋" w:hAnsi="仿宋" w:eastAsia="仿宋"/>
          <w:b/>
          <w:sz w:val="32"/>
          <w:szCs w:val="32"/>
          <w:lang w:eastAsia="zh-CN"/>
        </w:rPr>
        <w:t>（一）</w:t>
      </w:r>
      <w:r>
        <w:rPr>
          <w:rFonts w:hint="eastAsia" w:ascii="仿宋" w:hAnsi="仿宋" w:eastAsia="仿宋"/>
          <w:b/>
          <w:sz w:val="32"/>
          <w:szCs w:val="32"/>
        </w:rPr>
        <w:t>机关运行经费安排情况说明</w:t>
      </w:r>
    </w:p>
    <w:p>
      <w:pPr>
        <w:ind w:firstLine="640" w:firstLineChars="200"/>
        <w:rPr>
          <w:rFonts w:ascii="仿宋" w:hAnsi="仿宋" w:eastAsia="仿宋"/>
          <w:sz w:val="32"/>
          <w:szCs w:val="32"/>
        </w:rPr>
      </w:pPr>
      <w:r>
        <w:rPr>
          <w:rFonts w:hint="eastAsia" w:ascii="仿宋" w:hAnsi="仿宋" w:eastAsia="仿宋"/>
          <w:sz w:val="32"/>
          <w:szCs w:val="32"/>
        </w:rPr>
        <w:t>一般公共预算</w:t>
      </w:r>
      <w:r>
        <w:rPr>
          <w:rFonts w:ascii="仿宋" w:hAnsi="仿宋" w:eastAsia="仿宋"/>
          <w:sz w:val="32"/>
          <w:szCs w:val="32"/>
        </w:rPr>
        <w:t>75.72</w:t>
      </w:r>
      <w:r>
        <w:rPr>
          <w:rFonts w:hint="eastAsia" w:ascii="仿宋" w:hAnsi="仿宋" w:eastAsia="仿宋"/>
          <w:sz w:val="32"/>
          <w:szCs w:val="32"/>
        </w:rPr>
        <w:t>万元，包括办公费</w:t>
      </w:r>
      <w:r>
        <w:rPr>
          <w:rFonts w:ascii="仿宋" w:hAnsi="仿宋" w:eastAsia="仿宋"/>
          <w:sz w:val="32"/>
          <w:szCs w:val="32"/>
        </w:rPr>
        <w:t>2</w:t>
      </w:r>
      <w:r>
        <w:rPr>
          <w:rFonts w:hint="eastAsia" w:ascii="仿宋" w:hAnsi="仿宋" w:eastAsia="仿宋"/>
          <w:sz w:val="32"/>
          <w:szCs w:val="32"/>
        </w:rPr>
        <w:t>万元，水费</w:t>
      </w:r>
      <w:r>
        <w:rPr>
          <w:rFonts w:ascii="仿宋" w:hAnsi="仿宋" w:eastAsia="仿宋"/>
          <w:sz w:val="32"/>
          <w:szCs w:val="32"/>
        </w:rPr>
        <w:t>1.5</w:t>
      </w:r>
      <w:r>
        <w:rPr>
          <w:rFonts w:hint="eastAsia" w:ascii="仿宋" w:hAnsi="仿宋" w:eastAsia="仿宋"/>
          <w:sz w:val="32"/>
          <w:szCs w:val="32"/>
        </w:rPr>
        <w:t>万元，电费</w:t>
      </w:r>
      <w:r>
        <w:rPr>
          <w:rFonts w:ascii="仿宋" w:hAnsi="仿宋" w:eastAsia="仿宋"/>
          <w:sz w:val="32"/>
          <w:szCs w:val="32"/>
        </w:rPr>
        <w:t>1.5</w:t>
      </w:r>
      <w:r>
        <w:rPr>
          <w:rFonts w:hint="eastAsia" w:ascii="仿宋" w:hAnsi="仿宋" w:eastAsia="仿宋"/>
          <w:sz w:val="32"/>
          <w:szCs w:val="32"/>
        </w:rPr>
        <w:t>万元，邮电费</w:t>
      </w:r>
      <w:r>
        <w:rPr>
          <w:rFonts w:ascii="仿宋" w:hAnsi="仿宋" w:eastAsia="仿宋"/>
          <w:sz w:val="32"/>
          <w:szCs w:val="32"/>
        </w:rPr>
        <w:t>6.1</w:t>
      </w:r>
      <w:r>
        <w:rPr>
          <w:rFonts w:hint="eastAsia" w:ascii="仿宋" w:hAnsi="仿宋" w:eastAsia="仿宋"/>
          <w:sz w:val="32"/>
          <w:szCs w:val="32"/>
        </w:rPr>
        <w:t>万元，差旅费</w:t>
      </w:r>
      <w:r>
        <w:rPr>
          <w:rFonts w:ascii="仿宋" w:hAnsi="仿宋" w:eastAsia="仿宋"/>
          <w:sz w:val="32"/>
          <w:szCs w:val="32"/>
        </w:rPr>
        <w:t>10</w:t>
      </w:r>
      <w:r>
        <w:rPr>
          <w:rFonts w:hint="eastAsia" w:ascii="仿宋" w:hAnsi="仿宋" w:eastAsia="仿宋"/>
          <w:sz w:val="32"/>
          <w:szCs w:val="32"/>
        </w:rPr>
        <w:t>万元，因公出国（境）费用</w:t>
      </w:r>
      <w:r>
        <w:rPr>
          <w:rFonts w:ascii="仿宋" w:hAnsi="仿宋" w:eastAsia="仿宋"/>
          <w:sz w:val="32"/>
          <w:szCs w:val="32"/>
        </w:rPr>
        <w:t>4</w:t>
      </w:r>
      <w:r>
        <w:rPr>
          <w:rFonts w:hint="eastAsia" w:ascii="仿宋" w:hAnsi="仿宋" w:eastAsia="仿宋"/>
          <w:sz w:val="32"/>
          <w:szCs w:val="32"/>
        </w:rPr>
        <w:t>万元，会议费</w:t>
      </w:r>
      <w:r>
        <w:rPr>
          <w:rFonts w:ascii="仿宋" w:hAnsi="仿宋" w:eastAsia="仿宋"/>
          <w:sz w:val="32"/>
          <w:szCs w:val="32"/>
        </w:rPr>
        <w:t>2</w:t>
      </w:r>
      <w:r>
        <w:rPr>
          <w:rFonts w:hint="eastAsia" w:ascii="仿宋" w:hAnsi="仿宋" w:eastAsia="仿宋"/>
          <w:sz w:val="32"/>
          <w:szCs w:val="32"/>
        </w:rPr>
        <w:t>万元，培训费</w:t>
      </w:r>
      <w:r>
        <w:rPr>
          <w:rFonts w:ascii="仿宋" w:hAnsi="仿宋" w:eastAsia="仿宋"/>
          <w:sz w:val="32"/>
          <w:szCs w:val="32"/>
        </w:rPr>
        <w:t>1</w:t>
      </w:r>
      <w:r>
        <w:rPr>
          <w:rFonts w:hint="eastAsia" w:ascii="仿宋" w:hAnsi="仿宋" w:eastAsia="仿宋"/>
          <w:sz w:val="32"/>
          <w:szCs w:val="32"/>
        </w:rPr>
        <w:t>万元，公务接待费</w:t>
      </w:r>
      <w:r>
        <w:rPr>
          <w:rFonts w:ascii="仿宋" w:hAnsi="仿宋" w:eastAsia="仿宋"/>
          <w:sz w:val="32"/>
          <w:szCs w:val="32"/>
        </w:rPr>
        <w:t>1.2</w:t>
      </w:r>
      <w:r>
        <w:rPr>
          <w:rFonts w:hint="eastAsia" w:ascii="仿宋" w:hAnsi="仿宋" w:eastAsia="仿宋"/>
          <w:sz w:val="32"/>
          <w:szCs w:val="32"/>
        </w:rPr>
        <w:t>万元，公务用车运行维护费</w:t>
      </w:r>
      <w:r>
        <w:rPr>
          <w:rFonts w:ascii="仿宋" w:hAnsi="仿宋" w:eastAsia="仿宋"/>
          <w:sz w:val="32"/>
          <w:szCs w:val="32"/>
        </w:rPr>
        <w:t>6.6</w:t>
      </w:r>
      <w:r>
        <w:rPr>
          <w:rFonts w:hint="eastAsia" w:ascii="仿宋" w:hAnsi="仿宋" w:eastAsia="仿宋"/>
          <w:sz w:val="32"/>
          <w:szCs w:val="32"/>
        </w:rPr>
        <w:t>万元，其他交通费用</w:t>
      </w:r>
      <w:r>
        <w:rPr>
          <w:rFonts w:ascii="仿宋" w:hAnsi="仿宋" w:eastAsia="仿宋"/>
          <w:sz w:val="32"/>
          <w:szCs w:val="32"/>
        </w:rPr>
        <w:t>15.82</w:t>
      </w:r>
      <w:r>
        <w:rPr>
          <w:rFonts w:hint="eastAsia" w:ascii="仿宋" w:hAnsi="仿宋" w:eastAsia="仿宋"/>
          <w:sz w:val="32"/>
          <w:szCs w:val="32"/>
        </w:rPr>
        <w:t>万元，其他商品和服务支出</w:t>
      </w:r>
      <w:r>
        <w:rPr>
          <w:rFonts w:ascii="仿宋" w:hAnsi="仿宋" w:eastAsia="仿宋"/>
          <w:sz w:val="32"/>
          <w:szCs w:val="32"/>
        </w:rPr>
        <w:t>24</w:t>
      </w:r>
      <w:r>
        <w:rPr>
          <w:rFonts w:hint="eastAsia" w:ascii="仿宋" w:hAnsi="仿宋" w:eastAsia="仿宋"/>
          <w:sz w:val="32"/>
          <w:szCs w:val="32"/>
        </w:rPr>
        <w:t>万元。</w:t>
      </w:r>
    </w:p>
    <w:p>
      <w:pPr>
        <w:ind w:firstLine="643" w:firstLineChars="200"/>
        <w:rPr>
          <w:rFonts w:ascii="仿宋" w:hAnsi="仿宋" w:eastAsia="仿宋"/>
          <w:b/>
          <w:sz w:val="32"/>
          <w:szCs w:val="32"/>
        </w:rPr>
      </w:pPr>
      <w:r>
        <w:rPr>
          <w:rFonts w:hint="eastAsia" w:ascii="仿宋" w:hAnsi="仿宋" w:eastAsia="仿宋"/>
          <w:b/>
          <w:sz w:val="32"/>
          <w:szCs w:val="32"/>
          <w:lang w:eastAsia="zh-CN"/>
        </w:rPr>
        <w:t>（二）</w:t>
      </w:r>
      <w:r>
        <w:rPr>
          <w:rFonts w:hint="eastAsia" w:ascii="仿宋" w:hAnsi="仿宋" w:eastAsia="仿宋"/>
          <w:b/>
          <w:sz w:val="32"/>
          <w:szCs w:val="32"/>
        </w:rPr>
        <w:t>政府采购安排情况</w:t>
      </w:r>
    </w:p>
    <w:p>
      <w:pPr>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年我局政府采购预算共</w:t>
      </w:r>
      <w:r>
        <w:rPr>
          <w:rFonts w:ascii="仿宋" w:hAnsi="仿宋" w:eastAsia="仿宋"/>
          <w:sz w:val="32"/>
          <w:szCs w:val="32"/>
        </w:rPr>
        <w:t>4.2</w:t>
      </w:r>
      <w:r>
        <w:rPr>
          <w:rFonts w:hint="eastAsia" w:ascii="仿宋" w:hAnsi="仿宋" w:eastAsia="仿宋"/>
          <w:sz w:val="32"/>
          <w:szCs w:val="32"/>
        </w:rPr>
        <w:t>万元，</w:t>
      </w:r>
      <w:r>
        <w:rPr>
          <w:rFonts w:hint="eastAsia" w:ascii="仿宋_GB2312" w:hAnsi="仿宋_GB2312" w:eastAsia="仿宋_GB2312" w:cs="仿宋_GB2312"/>
          <w:sz w:val="32"/>
          <w:szCs w:val="32"/>
        </w:rPr>
        <w:t>包括通用设备采购预算</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rPr>
        <w:t>万元</w:t>
      </w:r>
      <w:r>
        <w:rPr>
          <w:rFonts w:hint="eastAsia" w:ascii="仿宋" w:hAnsi="仿宋" w:eastAsia="仿宋"/>
          <w:sz w:val="32"/>
          <w:szCs w:val="32"/>
        </w:rPr>
        <w:t>。</w:t>
      </w:r>
    </w:p>
    <w:p>
      <w:pPr>
        <w:ind w:firstLine="643" w:firstLineChars="200"/>
        <w:rPr>
          <w:rFonts w:ascii="仿宋_GB2312" w:eastAsia="仿宋_GB2312"/>
          <w:b/>
          <w:sz w:val="32"/>
          <w:szCs w:val="32"/>
        </w:rPr>
      </w:pPr>
      <w:r>
        <w:rPr>
          <w:rFonts w:hint="eastAsia" w:ascii="仿宋_GB2312" w:eastAsia="仿宋_GB2312"/>
          <w:b/>
          <w:sz w:val="32"/>
          <w:szCs w:val="32"/>
          <w:lang w:eastAsia="zh-CN"/>
        </w:rPr>
        <w:t>（三）</w:t>
      </w:r>
      <w:r>
        <w:rPr>
          <w:rFonts w:hint="eastAsia" w:ascii="仿宋_GB2312" w:eastAsia="仿宋_GB2312"/>
          <w:b/>
          <w:sz w:val="32"/>
          <w:szCs w:val="32"/>
        </w:rPr>
        <w:t>关于国有资产占用情况说明</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日，所属各预算单位共有车辆</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辆，其中，一般公务用车</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。具体情况说明：</w:t>
      </w:r>
      <w:r>
        <w:rPr>
          <w:rFonts w:hint="eastAsia" w:ascii="仿宋_GB2312" w:eastAsia="仿宋_GB2312"/>
          <w:sz w:val="32"/>
          <w:szCs w:val="32"/>
        </w:rPr>
        <w:t>车改后，我局实施公车统筹管理，将派出机构公务用车集中统一管理，集中管理的一般公务用车共</w:t>
      </w:r>
      <w:r>
        <w:rPr>
          <w:rFonts w:ascii="仿宋_GB2312" w:eastAsia="仿宋_GB2312"/>
          <w:sz w:val="32"/>
          <w:szCs w:val="32"/>
        </w:rPr>
        <w:t>3</w:t>
      </w:r>
      <w:r>
        <w:rPr>
          <w:rFonts w:hint="eastAsia" w:ascii="仿宋_GB2312" w:eastAsia="仿宋_GB2312"/>
          <w:sz w:val="32"/>
          <w:szCs w:val="32"/>
        </w:rPr>
        <w:t>台，车辆权属霞山分局、麻章分局和坡头分局，公车费用预算</w:t>
      </w:r>
      <w:r>
        <w:rPr>
          <w:rFonts w:ascii="仿宋_GB2312" w:eastAsia="仿宋_GB2312"/>
          <w:sz w:val="32"/>
          <w:szCs w:val="32"/>
        </w:rPr>
        <w:t>6.6</w:t>
      </w:r>
      <w:r>
        <w:rPr>
          <w:rFonts w:hint="eastAsia" w:ascii="仿宋_GB2312" w:eastAsia="仿宋_GB2312"/>
          <w:sz w:val="32"/>
          <w:szCs w:val="32"/>
        </w:rPr>
        <w:t>万元。</w:t>
      </w:r>
    </w:p>
    <w:p>
      <w:pPr>
        <w:numPr>
          <w:ilvl w:val="0"/>
          <w:numId w:val="0"/>
        </w:numPr>
        <w:ind w:left="640" w:leftChars="0"/>
        <w:rPr>
          <w:rFonts w:hint="eastAsia" w:ascii="仿宋_GB2312" w:eastAsia="仿宋_GB2312"/>
          <w:b/>
          <w:sz w:val="32"/>
          <w:szCs w:val="32"/>
        </w:rPr>
      </w:pPr>
      <w:r>
        <w:rPr>
          <w:rFonts w:hint="eastAsia" w:ascii="仿宋_GB2312" w:eastAsia="仿宋_GB2312"/>
          <w:b/>
          <w:sz w:val="32"/>
          <w:szCs w:val="32"/>
          <w:lang w:eastAsia="zh-CN"/>
        </w:rPr>
        <w:t>（四）</w:t>
      </w:r>
      <w:r>
        <w:rPr>
          <w:rFonts w:hint="eastAsia" w:ascii="仿宋_GB2312" w:eastAsia="仿宋_GB2312"/>
          <w:b/>
          <w:sz w:val="32"/>
          <w:szCs w:val="32"/>
        </w:rPr>
        <w:t>关于</w:t>
      </w:r>
      <w:r>
        <w:rPr>
          <w:rFonts w:ascii="仿宋_GB2312" w:eastAsia="仿宋_GB2312"/>
          <w:b/>
          <w:sz w:val="32"/>
          <w:szCs w:val="32"/>
        </w:rPr>
        <w:t>2018</w:t>
      </w:r>
      <w:r>
        <w:rPr>
          <w:rFonts w:hint="eastAsia" w:ascii="仿宋_GB2312" w:eastAsia="仿宋_GB2312"/>
          <w:b/>
          <w:sz w:val="32"/>
          <w:szCs w:val="32"/>
        </w:rPr>
        <w:t>年度预算绩效情况的说明</w:t>
      </w:r>
    </w:p>
    <w:p>
      <w:pPr>
        <w:jc w:val="left"/>
        <w:rPr>
          <w:rFonts w:hint="eastAsia" w:ascii="仿宋" w:hAnsi="仿宋" w:eastAsia="仿宋"/>
          <w:sz w:val="32"/>
          <w:lang w:val="en-US" w:eastAsia="zh-CN"/>
        </w:rPr>
      </w:pPr>
      <w:r>
        <w:rPr>
          <w:rFonts w:hint="eastAsia" w:ascii="仿宋_GB2312" w:hAnsi="仿宋_GB2312" w:eastAsia="仿宋_GB2312" w:cs="仿宋_GB2312"/>
          <w:sz w:val="32"/>
          <w:szCs w:val="32"/>
        </w:rPr>
        <w:t xml:space="preserve">  </w:t>
      </w:r>
      <w:r>
        <w:rPr>
          <w:rFonts w:hint="eastAsia" w:ascii="仿宋" w:hAnsi="仿宋" w:eastAsia="仿宋"/>
          <w:sz w:val="32"/>
        </w:rPr>
        <w:t>2018 年财政部项目绩效目标实现全覆盖，涉及一般公共预算当年拨款</w:t>
      </w:r>
      <w:r>
        <w:rPr>
          <w:rFonts w:hint="eastAsia" w:ascii="仿宋" w:hAnsi="仿宋" w:eastAsia="仿宋"/>
          <w:sz w:val="32"/>
          <w:lang w:val="en-US" w:eastAsia="zh-CN"/>
        </w:rPr>
        <w:t>8897</w:t>
      </w:r>
      <w:r>
        <w:rPr>
          <w:rFonts w:hint="eastAsia" w:ascii="仿宋" w:hAnsi="仿宋" w:eastAsia="仿宋"/>
          <w:sz w:val="32"/>
        </w:rPr>
        <w:t>万元，政府性基金当年拨款</w:t>
      </w:r>
      <w:r>
        <w:rPr>
          <w:rFonts w:hint="eastAsia" w:ascii="仿宋" w:hAnsi="仿宋" w:eastAsia="仿宋"/>
          <w:sz w:val="32"/>
          <w:lang w:val="en-US" w:eastAsia="zh-CN"/>
        </w:rPr>
        <w:t>230</w:t>
      </w:r>
      <w:r>
        <w:rPr>
          <w:rFonts w:hint="eastAsia" w:ascii="仿宋" w:hAnsi="仿宋" w:eastAsia="仿宋"/>
          <w:sz w:val="32"/>
        </w:rPr>
        <w:t>万元。</w:t>
      </w:r>
      <w:r>
        <w:rPr>
          <w:rFonts w:hint="eastAsia" w:ascii="仿宋" w:hAnsi="仿宋" w:eastAsia="仿宋"/>
          <w:sz w:val="32"/>
          <w:lang w:eastAsia="zh-CN"/>
        </w:rPr>
        <w:t>其中</w:t>
      </w:r>
      <w:r>
        <w:rPr>
          <w:rFonts w:hint="eastAsia" w:ascii="仿宋" w:hAnsi="仿宋" w:eastAsia="仿宋"/>
          <w:sz w:val="32"/>
          <w:lang w:val="en-US" w:eastAsia="zh-CN"/>
        </w:rPr>
        <w:t>8897万元是市级储备粮油利费补贴，该项目的绩效目标是完成省下达我市的地方储备粮油任务19.9万吨，确保市级储备粮数量真实，质量良好，储存安全，保障我市粮食安全。230万元是市级储备粮油仓库维修资金，该项目的绩效目标是利用财政安排资金，存储企业自筹配套部分资金，完善市级储备粮仓储设施维修，做到科学管粮、安全储粮、减少储存损耗。</w:t>
      </w:r>
    </w:p>
    <w:p>
      <w:pPr>
        <w:numPr>
          <w:ilvl w:val="0"/>
          <w:numId w:val="0"/>
        </w:numPr>
        <w:ind w:left="640" w:leftChars="0"/>
        <w:rPr>
          <w:rFonts w:ascii="仿宋" w:hAnsi="仿宋" w:eastAsia="仿宋"/>
          <w:b/>
          <w:sz w:val="32"/>
          <w:szCs w:val="32"/>
        </w:rPr>
      </w:pPr>
      <w:r>
        <w:rPr>
          <w:rFonts w:hint="eastAsia" w:ascii="仿宋" w:hAnsi="仿宋" w:eastAsia="仿宋"/>
          <w:b/>
          <w:sz w:val="32"/>
          <w:szCs w:val="32"/>
          <w:lang w:eastAsia="zh-CN"/>
        </w:rPr>
        <w:t>（五）</w:t>
      </w:r>
      <w:r>
        <w:rPr>
          <w:rFonts w:hint="eastAsia" w:ascii="仿宋" w:hAnsi="仿宋" w:eastAsia="仿宋"/>
          <w:b/>
          <w:sz w:val="32"/>
          <w:szCs w:val="32"/>
        </w:rPr>
        <w:t>专业名词解释</w:t>
      </w:r>
    </w:p>
    <w:p>
      <w:pPr>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基本支出：指为保障机构正常运转、完成日常工作任务而发生的人员支出和公用支出。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项目支出</w:t>
      </w:r>
      <w:r>
        <w:rPr>
          <w:rFonts w:ascii="仿宋" w:hAnsi="仿宋" w:eastAsia="仿宋"/>
          <w:sz w:val="32"/>
          <w:szCs w:val="32"/>
        </w:rPr>
        <w:t>:</w:t>
      </w:r>
      <w:r>
        <w:rPr>
          <w:rFonts w:hint="eastAsia" w:ascii="仿宋" w:hAnsi="仿宋" w:eastAsia="仿宋"/>
          <w:sz w:val="32"/>
          <w:szCs w:val="32"/>
        </w:rPr>
        <w:t>指在基本支出之外为完成特定行政任务和事业发展目标所发生的支出。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过路过桥费、保险费、安全奖励费用等支出；公务接待费反映单位按规定开支的各类公务接待（含外宾接待）支出。</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机关运行经费：为保障行政单位（含参照公务员法管理的事业单位）运行用于购买货物和服务的各项资金，包括办公及印刷费、邮电费、差旅费、会议费、福利费、日常维护费、专用材料及一般设备购置费、办公用房水电费、办公用房物业管理费、公务用车运行维护费以及其他费用。</w:t>
      </w:r>
    </w:p>
    <w:p>
      <w:pPr>
        <w:ind w:firstLine="640" w:firstLineChars="200"/>
        <w:rPr>
          <w:rFonts w:hint="eastAsia" w:ascii="仿宋" w:hAnsi="仿宋" w:eastAsia="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"http://www.zjczj.gov.cn/fileserver/News/364161c8-19f6-4baa-bb50-0ccf8fe93c13.xls" \o "附件：附件一：2018年财政拨款收支总表"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附件一：2018年财政拨款收支总表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"http://www.zjczj.gov.cn/fileserver/News/df6b05f4-ab46-4ca2-84c3-d7d668399510.xls" \o "附件：附件二：2018年一般公共预算支出表"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附件二：2018年一般公共预算支出表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"http://www.zjczj.gov.cn/fileserver/News/fbe9e3b9-c5d4-485e-8168-4d57529b2ec9.xls" \o "附件：附件三：2018年一般公共预算基本支出表（部门经济分类）"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附件三：2018年一般公共预算基本支出表（部门经济分类）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"http://www.zjczj.gov.cn/fileserver/News/0af8d299-74e5-4e76-823e-11c160d03e38.xls" \o "附件：附件四：2018年一般公共预算基本支出表（政府经济分类）"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附件四：2018年一般公共预算基本支出表（政府经济分类）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"http://www.zjczj.gov.cn/fileserver/News/e9c667c2-ee87-45c8-bc6d-b2b2b4d1f18c.xls" \o "附件：附件五：2018年一般公共预算\“三公\”经费支出表"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附件五：2018年一般公共预算“三公”经费支出表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"http://www.zjczj.gov.cn/fileserver/News/b3ca9ae0-c89a-46e0-8c3c-4fbf6de23f04.xls" \o "附件：附件六：2018年政府性基金预算支出表"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附件六：2018年政府性基金预算支出表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"http://www.zjczj.gov.cn/fileserver/News/c13309d8-7ba2-4dc0-880e-609ec7dd0d2e.xls" \o "附件：附件七：2018年部门收支总表"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附件七：2018年部门收支总表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"http://www.zjczj.gov.cn/fileserver/News/8784327b-4c75-4f64-8548-176d8db44c69.xls" \o "附件：附件八：2018年部门收入表"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附件八：2018年部门收入表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"http://www.zjczj.gov.cn/fileserver/News/6d5cda87-27b8-4e19-af41-b206485e5c54.xls" \o "附件：附件九：2018年部门支出表"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附件九：2018年部门支出表</w:t>
      </w:r>
      <w:r>
        <w:rPr>
          <w:rFonts w:hint="eastAsia" w:ascii="仿宋" w:hAnsi="仿宋" w:eastAsia="仿宋" w:cs="仿宋"/>
          <w:b w:val="0"/>
          <w:i w:val="0"/>
          <w:caps w:val="0"/>
          <w:color w:val="333333"/>
          <w:spacing w:val="0"/>
          <w:sz w:val="32"/>
          <w:szCs w:val="32"/>
          <w:u w:val="none"/>
          <w:shd w:val="clear" w:fill="FFFFFF"/>
        </w:rPr>
        <w:fldChar w:fldCharType="end"/>
      </w:r>
    </w:p>
    <w:p>
      <w:pPr>
        <w:numPr>
          <w:ilvl w:val="0"/>
          <w:numId w:val="0"/>
        </w:numPr>
        <w:rPr>
          <w:rFonts w:hint="eastAsia" w:ascii="仿宋" w:hAnsi="仿宋" w:eastAsia="仿宋" w:cs="仿宋"/>
          <w:b w:val="0"/>
          <w:i w:val="0"/>
          <w:caps w:val="0"/>
          <w:color w:val="333333"/>
          <w:spacing w:val="0"/>
          <w:sz w:val="32"/>
          <w:szCs w:val="32"/>
          <w:u w:val="none"/>
          <w:shd w:val="clear" w:fill="FFFFFF"/>
        </w:rPr>
      </w:pP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_5b8b_4f53">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华康简标题宋">
    <w:altName w:val="微软雅黑"/>
    <w:panose1 w:val="0201060900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21316"/>
    <w:multiLevelType w:val="singleLevel"/>
    <w:tmpl w:val="BBE21316"/>
    <w:lvl w:ilvl="0" w:tentative="0">
      <w:start w:val="4"/>
      <w:numFmt w:val="chineseCounting"/>
      <w:suff w:val="nothing"/>
      <w:lvlText w:val="%1、"/>
      <w:lvlJc w:val="left"/>
      <w:rPr>
        <w:rFonts w:hint="eastAsia" w:cs="Times New Roman"/>
      </w:rPr>
    </w:lvl>
  </w:abstractNum>
  <w:abstractNum w:abstractNumId="1">
    <w:nsid w:val="17735BB4"/>
    <w:multiLevelType w:val="multilevel"/>
    <w:tmpl w:val="17735BB4"/>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3B36433"/>
    <w:multiLevelType w:val="multilevel"/>
    <w:tmpl w:val="43B36433"/>
    <w:lvl w:ilvl="0" w:tentative="0">
      <w:start w:val="1"/>
      <w:numFmt w:val="japaneseCounting"/>
      <w:lvlText w:val="（%1）"/>
      <w:lvlJc w:val="left"/>
      <w:pPr>
        <w:ind w:left="1800" w:hanging="1080"/>
      </w:pPr>
      <w:rPr>
        <w:rFonts w:hint="default"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009B"/>
    <w:rsid w:val="00042157"/>
    <w:rsid w:val="00290C36"/>
    <w:rsid w:val="00431CDA"/>
    <w:rsid w:val="005A056B"/>
    <w:rsid w:val="005B303E"/>
    <w:rsid w:val="00604A16"/>
    <w:rsid w:val="006332AA"/>
    <w:rsid w:val="009A009B"/>
    <w:rsid w:val="00B032B7"/>
    <w:rsid w:val="00B77590"/>
    <w:rsid w:val="00DC7597"/>
    <w:rsid w:val="00E002B5"/>
    <w:rsid w:val="00E513D1"/>
    <w:rsid w:val="1C5E504B"/>
    <w:rsid w:val="1C6978A7"/>
    <w:rsid w:val="2C0D5013"/>
    <w:rsid w:val="2E977413"/>
    <w:rsid w:val="3E20231A"/>
    <w:rsid w:val="69EA24B5"/>
    <w:rsid w:val="769B29D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4">
    <w:name w:val="Hyperlink"/>
    <w:basedOn w:val="3"/>
    <w:semiHidden/>
    <w:unhideWhenUsed/>
    <w:uiPriority w:val="99"/>
    <w:rPr>
      <w:color w:val="0000FF"/>
      <w:u w:val="single"/>
    </w:rPr>
  </w:style>
  <w:style w:type="paragraph" w:styleId="6">
    <w:name w:val="List Paragraph"/>
    <w:basedOn w:val="1"/>
    <w:qFormat/>
    <w:uiPriority w:val="99"/>
    <w:pPr>
      <w:ind w:firstLine="420" w:firstLineChars="200"/>
    </w:pPr>
  </w:style>
  <w:style w:type="paragraph" w:customStyle="1" w:styleId="7">
    <w:name w:val="p0"/>
    <w:basedOn w:val="1"/>
    <w:qFormat/>
    <w:uiPriority w:val="0"/>
    <w:pPr>
      <w:widowControl/>
      <w:spacing w:line="560" w:lineRule="atLeast"/>
      <w:ind w:firstLine="420"/>
    </w:pPr>
    <w:rPr>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6</Pages>
  <Words>415</Words>
  <Characters>2371</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2018-02-05T02:27:00Z</dcterms:created>
  <dc:creator>吴文思</dc:creator>
  <cp:lastModifiedBy>Administrator</cp:lastModifiedBy>
  <dcterms:modified xsi:type="dcterms:W3CDTF">2018-02-09T10:58:42Z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