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2018 年度</w:t>
      </w:r>
      <w:r>
        <w:rPr>
          <w:rFonts w:hint="eastAsia" w:ascii="仿宋_GB2312" w:hAnsi="仿宋_GB2312" w:eastAsia="仿宋_GB2312" w:cs="仿宋_GB2312"/>
          <w:b/>
          <w:bCs/>
          <w:sz w:val="44"/>
          <w:szCs w:val="44"/>
          <w:lang w:eastAsia="zh-CN"/>
        </w:rPr>
        <w:t>湛江市粮食局赤坎分局部门</w:t>
      </w:r>
      <w:r>
        <w:rPr>
          <w:rFonts w:hint="eastAsia" w:ascii="仿宋_GB2312" w:hAnsi="仿宋_GB2312" w:eastAsia="仿宋_GB2312" w:cs="仿宋_GB2312"/>
          <w:b/>
          <w:bCs/>
          <w:sz w:val="44"/>
          <w:szCs w:val="44"/>
        </w:rPr>
        <w:t>预算公开</w:t>
      </w: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p>
    <w:p>
      <w:pPr>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目录</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第一部分2018 年</w:t>
      </w:r>
      <w:r>
        <w:rPr>
          <w:rFonts w:hint="eastAsia" w:ascii="仿宋_GB2312" w:hAnsi="仿宋_GB2312" w:eastAsia="仿宋_GB2312" w:cs="仿宋_GB2312"/>
          <w:sz w:val="32"/>
          <w:szCs w:val="32"/>
          <w:u w:val="none"/>
          <w:lang w:eastAsia="zh-CN"/>
        </w:rPr>
        <w:t>湛江市粮食局赤坎分局</w:t>
      </w:r>
      <w:r>
        <w:rPr>
          <w:rFonts w:hint="eastAsia" w:ascii="仿宋_GB2312" w:hAnsi="仿宋_GB2312" w:eastAsia="仿宋_GB2312" w:cs="仿宋_GB2312"/>
          <w:sz w:val="32"/>
          <w:szCs w:val="32"/>
        </w:rPr>
        <w:t>部门预算基本情况说明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四、"三公"经费说明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五、其他需要说明的情况</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第二部分2018 年</w:t>
      </w:r>
      <w:r>
        <w:rPr>
          <w:rFonts w:hint="eastAsia" w:ascii="仿宋_GB2312" w:hAnsi="仿宋_GB2312" w:eastAsia="仿宋_GB2312" w:cs="仿宋_GB2312"/>
          <w:sz w:val="32"/>
          <w:szCs w:val="32"/>
          <w:u w:val="none"/>
          <w:lang w:eastAsia="zh-CN"/>
        </w:rPr>
        <w:t>湛江市粮食局赤坎分局</w:t>
      </w:r>
      <w:r>
        <w:rPr>
          <w:rFonts w:hint="eastAsia" w:ascii="仿宋_GB2312" w:hAnsi="仿宋_GB2312" w:eastAsia="仿宋_GB2312" w:cs="仿宋_GB2312"/>
          <w:sz w:val="32"/>
          <w:szCs w:val="32"/>
        </w:rPr>
        <w:t>部门预算表</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一、2018年财政拨款收支总表</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二、2018年一般公共预算支出表</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三、2018年一般公共预算基本支出表（部门经济分类）</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四、2018年一般公共预算基本支出表（政府经济分类）</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五、2018年一般公共预算“三公”经费支出表</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六、2018年政府性基金预算支出表</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七、2018年部门收支总表</w:t>
      </w:r>
    </w:p>
    <w:p>
      <w:pPr>
        <w:pStyle w:val="9"/>
        <w:snapToGrid w:val="0"/>
        <w:spacing w:line="600" w:lineRule="exact"/>
        <w:ind w:firstLine="640"/>
        <w:rPr>
          <w:rFonts w:hint="eastAsia" w:ascii="仿宋_GB2312" w:hAnsi="仿宋_GB2312" w:eastAsia="仿宋_GB2312" w:cs="仿宋_GB2312"/>
        </w:rPr>
      </w:pPr>
      <w:r>
        <w:rPr>
          <w:rFonts w:hint="eastAsia" w:ascii="仿宋_GB2312" w:hAnsi="仿宋_GB2312" w:eastAsia="仿宋_GB2312" w:cs="仿宋_GB2312"/>
        </w:rPr>
        <w:t>八、2018年部门收入表</w:t>
      </w:r>
    </w:p>
    <w:p>
      <w:pPr>
        <w:pStyle w:val="9"/>
        <w:snapToGrid w:val="0"/>
        <w:spacing w:line="600" w:lineRule="exact"/>
        <w:ind w:firstLine="640"/>
        <w:rPr>
          <w:rFonts w:hint="eastAsia" w:ascii="仿宋_GB2312" w:eastAsia="仿宋_GB2312"/>
        </w:rPr>
      </w:pPr>
      <w:r>
        <w:rPr>
          <w:rFonts w:hint="eastAsia" w:ascii="仿宋_GB2312" w:hAnsi="仿宋_GB2312" w:eastAsia="仿宋_GB2312" w:cs="仿宋_GB2312"/>
        </w:rPr>
        <w:t>九、2018年部门支出表</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spacing w:line="620" w:lineRule="exact"/>
        <w:jc w:val="center"/>
        <w:rPr>
          <w:rFonts w:hint="eastAsia" w:ascii="仿宋_GB2312" w:eastAsia="仿宋_GB2312"/>
          <w:sz w:val="44"/>
          <w:szCs w:val="44"/>
        </w:rPr>
      </w:pPr>
    </w:p>
    <w:p>
      <w:pPr>
        <w:jc w:val="center"/>
        <w:rPr>
          <w:rFonts w:ascii="仿宋" w:hAnsi="仿宋" w:eastAsia="仿宋"/>
          <w:b/>
          <w:sz w:val="44"/>
          <w:szCs w:val="44"/>
        </w:rPr>
      </w:pPr>
      <w:r>
        <w:rPr>
          <w:rFonts w:ascii="仿宋" w:hAnsi="仿宋" w:eastAsia="仿宋"/>
          <w:b/>
          <w:sz w:val="44"/>
          <w:szCs w:val="44"/>
        </w:rPr>
        <w:t>2018</w:t>
      </w:r>
      <w:r>
        <w:rPr>
          <w:rFonts w:hint="eastAsia" w:ascii="仿宋" w:hAnsi="仿宋" w:eastAsia="仿宋"/>
          <w:b/>
          <w:sz w:val="44"/>
          <w:szCs w:val="44"/>
        </w:rPr>
        <w:t>年湛江市粮食局赤坎分局</w:t>
      </w:r>
    </w:p>
    <w:p>
      <w:pPr>
        <w:jc w:val="center"/>
        <w:rPr>
          <w:rFonts w:ascii="仿宋" w:hAnsi="仿宋" w:eastAsia="仿宋"/>
          <w:b/>
          <w:sz w:val="32"/>
          <w:szCs w:val="32"/>
        </w:rPr>
      </w:pPr>
      <w:r>
        <w:rPr>
          <w:rFonts w:hint="eastAsia" w:ascii="仿宋" w:hAnsi="仿宋" w:eastAsia="仿宋"/>
          <w:b/>
          <w:sz w:val="44"/>
          <w:szCs w:val="44"/>
        </w:rPr>
        <w:t>部门预算基本情况说明</w:t>
      </w:r>
    </w:p>
    <w:p>
      <w:pPr>
        <w:pStyle w:val="6"/>
        <w:numPr>
          <w:ilvl w:val="0"/>
          <w:numId w:val="1"/>
        </w:numPr>
        <w:ind w:firstLineChars="0"/>
        <w:rPr>
          <w:rFonts w:ascii="仿宋" w:hAnsi="仿宋" w:eastAsia="仿宋"/>
          <w:b/>
          <w:sz w:val="32"/>
          <w:szCs w:val="32"/>
        </w:rPr>
      </w:pPr>
      <w:r>
        <w:rPr>
          <w:rFonts w:hint="eastAsia" w:ascii="仿宋" w:hAnsi="仿宋" w:eastAsia="仿宋"/>
          <w:b/>
          <w:sz w:val="32"/>
          <w:szCs w:val="32"/>
        </w:rPr>
        <w:t>部门基本情况</w:t>
      </w:r>
    </w:p>
    <w:p>
      <w:pPr>
        <w:widowControl/>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（一）部门机构设置、职能</w:t>
      </w:r>
    </w:p>
    <w:p>
      <w:pPr>
        <w:widowControl/>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湛江市粮食局赤坎分局是市粮食局的派出机构，是参照公务员法管理的事业单位。内设办公室（与财审股合署）、人事保卫股、业务股。下属企业有：湛江市赤坎军粮供应站。主要职责为：办公室（与财审股合署）是协助分局领导处理机关日常工作，负责分局重要会议的组织和会议决定的落实，起草综合性文件，草拟工作计划和总结，处理文书、档案、保密、信访、环境卫生、固定资产及行政管理工作，负责财务会计、审计工作，管理各项粮食资金，指导、监督基层财务工作，组织实施财务会计制度和内部审计工作，汇编财务报告和会议报表；人事保卫股是负责分局及指导基层单位的党务、人事、劳动工资、安全保卫、纪检监察、宣传教育、工会、共青团、妇女、计划生育工作；业务股是根据国家、省、市有关粮食购销政策，掌握所在区内粮食生产、流通、价格情况，搞好区内粮食总量平衡，变薄行业统计报表，完善和落实军粮供应管理办法，监督检查军队粮油供应工作，按粮食购销市场化要求，搞好粮食购销，组织落实上级下达的储备粮油任务，负责仓储设施的改造和维修，保证粮油储存安全，负责仓储、调运统计报表工作。</w:t>
      </w:r>
    </w:p>
    <w:p>
      <w:pPr>
        <w:widowControl/>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（二）人员构成情况</w:t>
      </w:r>
    </w:p>
    <w:p>
      <w:pPr>
        <w:widowControl/>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湛江市粮食局赤坎分局事业编制</w:t>
      </w:r>
      <w:r>
        <w:rPr>
          <w:rFonts w:ascii="仿宋" w:hAnsi="仿宋" w:eastAsia="仿宋" w:cs="宋体"/>
          <w:kern w:val="0"/>
          <w:sz w:val="32"/>
          <w:szCs w:val="32"/>
        </w:rPr>
        <w:t>7</w:t>
      </w:r>
      <w:r>
        <w:rPr>
          <w:rFonts w:hint="eastAsia" w:ascii="仿宋" w:hAnsi="仿宋" w:eastAsia="仿宋" w:cs="宋体"/>
          <w:kern w:val="0"/>
          <w:sz w:val="32"/>
          <w:szCs w:val="32"/>
        </w:rPr>
        <w:t>名，实有在职人数</w:t>
      </w:r>
      <w:r>
        <w:rPr>
          <w:rFonts w:ascii="仿宋" w:hAnsi="仿宋" w:eastAsia="仿宋" w:cs="宋体"/>
          <w:kern w:val="0"/>
          <w:sz w:val="32"/>
          <w:szCs w:val="32"/>
        </w:rPr>
        <w:t>7</w:t>
      </w:r>
      <w:r>
        <w:rPr>
          <w:rFonts w:hint="eastAsia" w:ascii="仿宋" w:hAnsi="仿宋" w:eastAsia="仿宋" w:cs="宋体"/>
          <w:kern w:val="0"/>
          <w:sz w:val="32"/>
          <w:szCs w:val="32"/>
        </w:rPr>
        <w:t>人，退休人员</w:t>
      </w:r>
      <w:r>
        <w:rPr>
          <w:rFonts w:ascii="仿宋" w:hAnsi="仿宋" w:eastAsia="仿宋" w:cs="宋体"/>
          <w:kern w:val="0"/>
          <w:sz w:val="32"/>
          <w:szCs w:val="32"/>
        </w:rPr>
        <w:t>16</w:t>
      </w:r>
      <w:r>
        <w:rPr>
          <w:rFonts w:hint="eastAsia" w:ascii="仿宋" w:hAnsi="仿宋" w:eastAsia="仿宋" w:cs="宋体"/>
          <w:kern w:val="0"/>
          <w:sz w:val="32"/>
          <w:szCs w:val="32"/>
        </w:rPr>
        <w:t>人，均为财政全额供养人员。</w:t>
      </w:r>
    </w:p>
    <w:p>
      <w:pPr>
        <w:widowControl/>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（三）预算年度的主要工作任务</w:t>
      </w:r>
    </w:p>
    <w:p>
      <w:pPr>
        <w:widowControl/>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贯彻执行国家、省、市政府粮食工作的各项方针、政策、法规；按“米袋子”政府负责制要求，保证赤坎区内粮食总量平衡，确保粮食安全；会同有关部门加强对辖区内粮食市场的管理，充分发挥粮食主渠道作用，平抑粮价，确保粮食市场稳定；负责驻辖区部队军粮供应；承办市粮食局和赤坎区政府交办的其他工作。</w:t>
      </w:r>
    </w:p>
    <w:p>
      <w:pPr>
        <w:pStyle w:val="6"/>
        <w:widowControl/>
        <w:numPr>
          <w:ilvl w:val="0"/>
          <w:numId w:val="1"/>
        </w:numPr>
        <w:ind w:firstLineChars="0"/>
        <w:jc w:val="left"/>
        <w:rPr>
          <w:rFonts w:ascii="仿宋" w:hAnsi="仿宋" w:eastAsia="仿宋" w:cs="宋体"/>
          <w:b/>
          <w:kern w:val="0"/>
          <w:sz w:val="32"/>
          <w:szCs w:val="32"/>
        </w:rPr>
      </w:pPr>
      <w:r>
        <w:rPr>
          <w:rFonts w:hint="eastAsia" w:ascii="仿宋" w:hAnsi="仿宋" w:eastAsia="仿宋" w:cs="宋体"/>
          <w:b/>
          <w:kern w:val="0"/>
          <w:sz w:val="32"/>
          <w:szCs w:val="32"/>
        </w:rPr>
        <w:t>收入预算说明</w:t>
      </w:r>
    </w:p>
    <w:p>
      <w:pPr>
        <w:widowControl/>
        <w:ind w:firstLine="640" w:firstLineChars="200"/>
        <w:jc w:val="left"/>
        <w:rPr>
          <w:rFonts w:ascii="仿宋" w:hAnsi="仿宋" w:eastAsia="仿宋" w:cs="宋体"/>
          <w:kern w:val="0"/>
          <w:sz w:val="32"/>
          <w:szCs w:val="32"/>
        </w:rPr>
      </w:pPr>
      <w:r>
        <w:rPr>
          <w:rFonts w:ascii="仿宋" w:hAnsi="仿宋" w:eastAsia="仿宋" w:cs="宋体"/>
          <w:kern w:val="0"/>
          <w:sz w:val="32"/>
          <w:szCs w:val="32"/>
        </w:rPr>
        <w:t>2018</w:t>
      </w:r>
      <w:r>
        <w:rPr>
          <w:rFonts w:hint="eastAsia" w:ascii="仿宋" w:hAnsi="仿宋" w:eastAsia="仿宋" w:cs="宋体"/>
          <w:kern w:val="0"/>
          <w:sz w:val="32"/>
          <w:szCs w:val="32"/>
        </w:rPr>
        <w:t>年收入预算</w:t>
      </w:r>
      <w:r>
        <w:rPr>
          <w:rFonts w:ascii="仿宋" w:hAnsi="仿宋" w:eastAsia="仿宋" w:cs="宋体"/>
          <w:kern w:val="0"/>
          <w:sz w:val="32"/>
          <w:szCs w:val="32"/>
        </w:rPr>
        <w:t>250.28</w:t>
      </w:r>
      <w:r>
        <w:rPr>
          <w:rFonts w:hint="eastAsia" w:ascii="仿宋" w:hAnsi="仿宋" w:eastAsia="仿宋" w:cs="宋体"/>
          <w:kern w:val="0"/>
          <w:sz w:val="32"/>
          <w:szCs w:val="32"/>
        </w:rPr>
        <w:t>万元，比上年增加</w:t>
      </w:r>
      <w:r>
        <w:rPr>
          <w:rFonts w:ascii="仿宋" w:hAnsi="仿宋" w:eastAsia="仿宋" w:cs="宋体"/>
          <w:kern w:val="0"/>
          <w:sz w:val="32"/>
          <w:szCs w:val="32"/>
        </w:rPr>
        <w:t>18.51</w:t>
      </w:r>
      <w:r>
        <w:rPr>
          <w:rFonts w:hint="eastAsia" w:ascii="仿宋" w:hAnsi="仿宋" w:eastAsia="仿宋" w:cs="宋体"/>
          <w:kern w:val="0"/>
          <w:sz w:val="32"/>
          <w:szCs w:val="32"/>
        </w:rPr>
        <w:t>万元，增长</w:t>
      </w:r>
      <w:r>
        <w:rPr>
          <w:rFonts w:ascii="仿宋" w:hAnsi="仿宋" w:eastAsia="仿宋" w:cs="宋体"/>
          <w:kern w:val="0"/>
          <w:sz w:val="32"/>
          <w:szCs w:val="32"/>
        </w:rPr>
        <w:t>7.99%</w:t>
      </w:r>
      <w:r>
        <w:rPr>
          <w:rFonts w:hint="eastAsia" w:ascii="仿宋" w:hAnsi="仿宋" w:eastAsia="仿宋" w:cs="宋体"/>
          <w:kern w:val="0"/>
          <w:sz w:val="32"/>
          <w:szCs w:val="32"/>
        </w:rPr>
        <w:t>，增长主要原因是在职人员增加</w:t>
      </w:r>
      <w:r>
        <w:rPr>
          <w:rFonts w:ascii="仿宋" w:hAnsi="仿宋" w:eastAsia="仿宋" w:cs="宋体"/>
          <w:kern w:val="0"/>
          <w:sz w:val="32"/>
          <w:szCs w:val="32"/>
        </w:rPr>
        <w:t>2</w:t>
      </w:r>
      <w:r>
        <w:rPr>
          <w:rFonts w:hint="eastAsia" w:ascii="仿宋" w:hAnsi="仿宋" w:eastAsia="仿宋" w:cs="宋体"/>
          <w:kern w:val="0"/>
          <w:sz w:val="32"/>
          <w:szCs w:val="32"/>
        </w:rPr>
        <w:t>人，人员工资、公务交通补贴和住房补贴增加。</w:t>
      </w:r>
    </w:p>
    <w:p>
      <w:pPr>
        <w:pStyle w:val="6"/>
        <w:widowControl/>
        <w:numPr>
          <w:ilvl w:val="0"/>
          <w:numId w:val="1"/>
        </w:numPr>
        <w:ind w:firstLineChars="0"/>
        <w:jc w:val="left"/>
        <w:rPr>
          <w:rFonts w:ascii="仿宋" w:hAnsi="仿宋" w:eastAsia="仿宋" w:cs="宋体"/>
          <w:b/>
          <w:kern w:val="0"/>
          <w:sz w:val="32"/>
          <w:szCs w:val="32"/>
        </w:rPr>
      </w:pPr>
      <w:r>
        <w:rPr>
          <w:rFonts w:hint="eastAsia" w:ascii="仿宋" w:hAnsi="仿宋" w:eastAsia="仿宋" w:cs="宋体"/>
          <w:b/>
          <w:kern w:val="0"/>
          <w:sz w:val="32"/>
          <w:szCs w:val="32"/>
        </w:rPr>
        <w:t>支出预算说明</w:t>
      </w:r>
    </w:p>
    <w:p>
      <w:pPr>
        <w:widowControl/>
        <w:ind w:firstLine="640" w:firstLineChars="200"/>
        <w:jc w:val="left"/>
        <w:rPr>
          <w:rFonts w:ascii="仿宋" w:hAnsi="仿宋" w:eastAsia="仿宋" w:cs="宋体"/>
          <w:kern w:val="0"/>
          <w:sz w:val="32"/>
          <w:szCs w:val="32"/>
        </w:rPr>
      </w:pPr>
      <w:r>
        <w:rPr>
          <w:rFonts w:ascii="仿宋" w:hAnsi="仿宋" w:eastAsia="仿宋" w:cs="宋体"/>
          <w:kern w:val="0"/>
          <w:sz w:val="32"/>
          <w:szCs w:val="32"/>
        </w:rPr>
        <w:t>2018</w:t>
      </w:r>
      <w:r>
        <w:rPr>
          <w:rFonts w:hint="eastAsia" w:ascii="仿宋" w:hAnsi="仿宋" w:eastAsia="仿宋" w:cs="宋体"/>
          <w:kern w:val="0"/>
          <w:sz w:val="32"/>
          <w:szCs w:val="32"/>
        </w:rPr>
        <w:t>年支出预算</w:t>
      </w:r>
      <w:r>
        <w:rPr>
          <w:rFonts w:ascii="仿宋" w:hAnsi="仿宋" w:eastAsia="仿宋" w:cs="宋体"/>
          <w:kern w:val="0"/>
          <w:sz w:val="32"/>
          <w:szCs w:val="32"/>
        </w:rPr>
        <w:t>250.28</w:t>
      </w:r>
      <w:r>
        <w:rPr>
          <w:rFonts w:hint="eastAsia" w:ascii="仿宋" w:hAnsi="仿宋" w:eastAsia="仿宋" w:cs="宋体"/>
          <w:kern w:val="0"/>
          <w:sz w:val="32"/>
          <w:szCs w:val="32"/>
        </w:rPr>
        <w:t>万元，比上年增加</w:t>
      </w:r>
      <w:r>
        <w:rPr>
          <w:rFonts w:ascii="仿宋" w:hAnsi="仿宋" w:eastAsia="仿宋" w:cs="宋体"/>
          <w:kern w:val="0"/>
          <w:sz w:val="32"/>
          <w:szCs w:val="32"/>
        </w:rPr>
        <w:t>18.51</w:t>
      </w:r>
      <w:r>
        <w:rPr>
          <w:rFonts w:hint="eastAsia" w:ascii="仿宋" w:hAnsi="仿宋" w:eastAsia="仿宋" w:cs="宋体"/>
          <w:kern w:val="0"/>
          <w:sz w:val="32"/>
          <w:szCs w:val="32"/>
        </w:rPr>
        <w:t>万元，增长</w:t>
      </w:r>
      <w:r>
        <w:rPr>
          <w:rFonts w:ascii="仿宋" w:hAnsi="仿宋" w:eastAsia="仿宋" w:cs="宋体"/>
          <w:kern w:val="0"/>
          <w:sz w:val="32"/>
          <w:szCs w:val="32"/>
        </w:rPr>
        <w:t>7.99%</w:t>
      </w:r>
      <w:r>
        <w:rPr>
          <w:rFonts w:hint="eastAsia" w:ascii="仿宋" w:hAnsi="仿宋" w:eastAsia="仿宋" w:cs="宋体"/>
          <w:kern w:val="0"/>
          <w:sz w:val="32"/>
          <w:szCs w:val="32"/>
        </w:rPr>
        <w:t>。其中基本支出预算</w:t>
      </w:r>
      <w:r>
        <w:rPr>
          <w:rFonts w:ascii="仿宋" w:hAnsi="仿宋" w:eastAsia="仿宋" w:cs="宋体"/>
          <w:kern w:val="0"/>
          <w:sz w:val="32"/>
          <w:szCs w:val="32"/>
        </w:rPr>
        <w:t>250.28</w:t>
      </w:r>
      <w:r>
        <w:rPr>
          <w:rFonts w:hint="eastAsia" w:ascii="仿宋" w:hAnsi="仿宋" w:eastAsia="仿宋" w:cs="宋体"/>
          <w:kern w:val="0"/>
          <w:sz w:val="32"/>
          <w:szCs w:val="32"/>
        </w:rPr>
        <w:t>万元，比上年增长</w:t>
      </w:r>
      <w:r>
        <w:rPr>
          <w:rFonts w:ascii="仿宋" w:hAnsi="仿宋" w:eastAsia="仿宋" w:cs="宋体"/>
          <w:kern w:val="0"/>
          <w:sz w:val="32"/>
          <w:szCs w:val="32"/>
        </w:rPr>
        <w:t>18.51</w:t>
      </w:r>
      <w:r>
        <w:rPr>
          <w:rFonts w:hint="eastAsia" w:ascii="仿宋" w:hAnsi="仿宋" w:eastAsia="仿宋" w:cs="宋体"/>
          <w:kern w:val="0"/>
          <w:sz w:val="32"/>
          <w:szCs w:val="32"/>
        </w:rPr>
        <w:t>万元；无项目支出。</w:t>
      </w:r>
    </w:p>
    <w:p>
      <w:pPr>
        <w:widowControl/>
        <w:ind w:firstLine="640" w:firstLineChars="200"/>
        <w:jc w:val="left"/>
        <w:rPr>
          <w:rFonts w:ascii="仿宋" w:hAnsi="仿宋" w:eastAsia="仿宋" w:cs="宋体"/>
          <w:kern w:val="0"/>
          <w:sz w:val="32"/>
          <w:szCs w:val="32"/>
        </w:rPr>
      </w:pPr>
      <w:r>
        <w:rPr>
          <w:rFonts w:ascii="仿宋" w:hAnsi="仿宋" w:eastAsia="仿宋" w:cs="宋体"/>
          <w:kern w:val="0"/>
          <w:sz w:val="32"/>
          <w:szCs w:val="32"/>
        </w:rPr>
        <w:t>2018</w:t>
      </w:r>
      <w:r>
        <w:rPr>
          <w:rFonts w:hint="eastAsia" w:ascii="仿宋" w:hAnsi="仿宋" w:eastAsia="仿宋" w:cs="宋体"/>
          <w:kern w:val="0"/>
          <w:sz w:val="32"/>
          <w:szCs w:val="32"/>
        </w:rPr>
        <w:t>年支出预算按政府经济分类划分：机关工资福利支出</w:t>
      </w:r>
      <w:r>
        <w:rPr>
          <w:rFonts w:ascii="仿宋" w:hAnsi="仿宋" w:eastAsia="仿宋" w:cs="宋体"/>
          <w:kern w:val="0"/>
          <w:sz w:val="32"/>
          <w:szCs w:val="32"/>
        </w:rPr>
        <w:t>101.05</w:t>
      </w:r>
      <w:r>
        <w:rPr>
          <w:rFonts w:hint="eastAsia" w:ascii="仿宋" w:hAnsi="仿宋" w:eastAsia="仿宋" w:cs="宋体"/>
          <w:kern w:val="0"/>
          <w:sz w:val="32"/>
          <w:szCs w:val="32"/>
        </w:rPr>
        <w:t>万元，机关商品和服务支出</w:t>
      </w:r>
      <w:r>
        <w:rPr>
          <w:rFonts w:ascii="仿宋" w:hAnsi="仿宋" w:eastAsia="仿宋" w:cs="宋体"/>
          <w:kern w:val="0"/>
          <w:sz w:val="32"/>
          <w:szCs w:val="32"/>
        </w:rPr>
        <w:t>11.04</w:t>
      </w:r>
      <w:r>
        <w:rPr>
          <w:rFonts w:hint="eastAsia" w:ascii="仿宋" w:hAnsi="仿宋" w:eastAsia="仿宋" w:cs="宋体"/>
          <w:kern w:val="0"/>
          <w:sz w:val="32"/>
          <w:szCs w:val="32"/>
        </w:rPr>
        <w:t>万元，对个人和家庭的补助</w:t>
      </w:r>
      <w:r>
        <w:rPr>
          <w:rFonts w:ascii="仿宋" w:hAnsi="仿宋" w:eastAsia="仿宋" w:cs="宋体"/>
          <w:kern w:val="0"/>
          <w:sz w:val="32"/>
          <w:szCs w:val="32"/>
        </w:rPr>
        <w:t>138.19</w:t>
      </w:r>
      <w:r>
        <w:rPr>
          <w:rFonts w:hint="eastAsia" w:ascii="仿宋" w:hAnsi="仿宋" w:eastAsia="仿宋" w:cs="宋体"/>
          <w:kern w:val="0"/>
          <w:sz w:val="32"/>
          <w:szCs w:val="32"/>
        </w:rPr>
        <w:t>万元；按部门经济分类划分：基本支出预算</w:t>
      </w:r>
      <w:r>
        <w:rPr>
          <w:rFonts w:ascii="仿宋" w:hAnsi="仿宋" w:eastAsia="仿宋" w:cs="宋体"/>
          <w:kern w:val="0"/>
          <w:sz w:val="32"/>
          <w:szCs w:val="32"/>
        </w:rPr>
        <w:t>250.28</w:t>
      </w:r>
      <w:r>
        <w:rPr>
          <w:rFonts w:hint="eastAsia" w:ascii="仿宋" w:hAnsi="仿宋" w:eastAsia="仿宋" w:cs="宋体"/>
          <w:kern w:val="0"/>
          <w:sz w:val="32"/>
          <w:szCs w:val="32"/>
        </w:rPr>
        <w:t>万元，其中：工资福利支出</w:t>
      </w:r>
      <w:r>
        <w:rPr>
          <w:rFonts w:ascii="仿宋" w:hAnsi="仿宋" w:eastAsia="仿宋" w:cs="宋体"/>
          <w:kern w:val="0"/>
          <w:sz w:val="32"/>
          <w:szCs w:val="32"/>
        </w:rPr>
        <w:t>101.05</w:t>
      </w:r>
      <w:r>
        <w:rPr>
          <w:rFonts w:hint="eastAsia" w:ascii="仿宋" w:hAnsi="仿宋" w:eastAsia="仿宋" w:cs="宋体"/>
          <w:kern w:val="0"/>
          <w:sz w:val="32"/>
          <w:szCs w:val="32"/>
        </w:rPr>
        <w:t>万元（比上年增长</w:t>
      </w:r>
      <w:r>
        <w:rPr>
          <w:rFonts w:ascii="仿宋" w:hAnsi="仿宋" w:eastAsia="仿宋" w:cs="宋体"/>
          <w:kern w:val="0"/>
          <w:sz w:val="32"/>
          <w:szCs w:val="32"/>
        </w:rPr>
        <w:t>40.38</w:t>
      </w:r>
      <w:r>
        <w:rPr>
          <w:rFonts w:hint="eastAsia" w:ascii="仿宋" w:hAnsi="仿宋" w:eastAsia="仿宋" w:cs="宋体"/>
          <w:kern w:val="0"/>
          <w:sz w:val="32"/>
          <w:szCs w:val="32"/>
        </w:rPr>
        <w:t>万元），商品和服务支出</w:t>
      </w:r>
      <w:r>
        <w:rPr>
          <w:rFonts w:ascii="仿宋" w:hAnsi="仿宋" w:eastAsia="仿宋" w:cs="宋体"/>
          <w:kern w:val="0"/>
          <w:sz w:val="32"/>
          <w:szCs w:val="32"/>
        </w:rPr>
        <w:t>11.04</w:t>
      </w:r>
      <w:r>
        <w:rPr>
          <w:rFonts w:hint="eastAsia" w:ascii="仿宋" w:hAnsi="仿宋" w:eastAsia="仿宋" w:cs="宋体"/>
          <w:kern w:val="0"/>
          <w:sz w:val="32"/>
          <w:szCs w:val="32"/>
        </w:rPr>
        <w:t>万元（比上年增长</w:t>
      </w:r>
      <w:r>
        <w:rPr>
          <w:rFonts w:ascii="仿宋" w:hAnsi="仿宋" w:eastAsia="仿宋" w:cs="宋体"/>
          <w:kern w:val="0"/>
          <w:sz w:val="32"/>
          <w:szCs w:val="32"/>
        </w:rPr>
        <w:t>0.3</w:t>
      </w:r>
      <w:r>
        <w:rPr>
          <w:rFonts w:hint="eastAsia" w:ascii="仿宋" w:hAnsi="仿宋" w:eastAsia="仿宋" w:cs="宋体"/>
          <w:kern w:val="0"/>
          <w:sz w:val="32"/>
          <w:szCs w:val="32"/>
        </w:rPr>
        <w:t>万元），对个人和家庭的补助</w:t>
      </w:r>
      <w:r>
        <w:rPr>
          <w:rFonts w:ascii="仿宋" w:hAnsi="仿宋" w:eastAsia="仿宋" w:cs="宋体"/>
          <w:kern w:val="0"/>
          <w:sz w:val="32"/>
          <w:szCs w:val="32"/>
        </w:rPr>
        <w:t>138.19</w:t>
      </w:r>
      <w:r>
        <w:rPr>
          <w:rFonts w:hint="eastAsia" w:ascii="仿宋" w:hAnsi="仿宋" w:eastAsia="仿宋" w:cs="宋体"/>
          <w:kern w:val="0"/>
          <w:sz w:val="32"/>
          <w:szCs w:val="32"/>
        </w:rPr>
        <w:t>万元（比上年减少</w:t>
      </w:r>
      <w:r>
        <w:rPr>
          <w:rFonts w:ascii="仿宋" w:hAnsi="仿宋" w:eastAsia="仿宋" w:cs="宋体"/>
          <w:kern w:val="0"/>
          <w:sz w:val="32"/>
          <w:szCs w:val="32"/>
        </w:rPr>
        <w:t>22.17</w:t>
      </w:r>
      <w:r>
        <w:rPr>
          <w:rFonts w:hint="eastAsia" w:ascii="仿宋" w:hAnsi="仿宋" w:eastAsia="仿宋" w:cs="宋体"/>
          <w:kern w:val="0"/>
          <w:sz w:val="32"/>
          <w:szCs w:val="32"/>
        </w:rPr>
        <w:t>万元）；无项目支出。</w:t>
      </w:r>
    </w:p>
    <w:p>
      <w:pPr>
        <w:pStyle w:val="6"/>
        <w:widowControl/>
        <w:numPr>
          <w:ilvl w:val="0"/>
          <w:numId w:val="1"/>
        </w:numPr>
        <w:ind w:firstLineChars="0"/>
        <w:jc w:val="left"/>
        <w:rPr>
          <w:rFonts w:ascii="仿宋" w:hAnsi="仿宋" w:eastAsia="仿宋" w:cs="宋体"/>
          <w:b/>
          <w:kern w:val="0"/>
          <w:sz w:val="32"/>
          <w:szCs w:val="32"/>
        </w:rPr>
      </w:pPr>
      <w:r>
        <w:rPr>
          <w:rFonts w:hint="eastAsia" w:ascii="仿宋" w:hAnsi="仿宋" w:eastAsia="仿宋" w:cs="宋体"/>
          <w:b/>
          <w:kern w:val="0"/>
          <w:sz w:val="32"/>
          <w:szCs w:val="32"/>
        </w:rPr>
        <w:t>“三公”经费说明</w:t>
      </w:r>
    </w:p>
    <w:p>
      <w:pPr>
        <w:ind w:firstLine="640" w:firstLineChars="200"/>
        <w:rPr>
          <w:rFonts w:ascii="仿宋" w:hAnsi="仿宋" w:eastAsia="仿宋"/>
          <w:sz w:val="32"/>
          <w:szCs w:val="32"/>
        </w:rPr>
      </w:pPr>
      <w:r>
        <w:rPr>
          <w:rFonts w:ascii="仿宋" w:hAnsi="仿宋" w:eastAsia="仿宋"/>
          <w:sz w:val="32"/>
          <w:szCs w:val="32"/>
        </w:rPr>
        <w:t>2018</w:t>
      </w:r>
      <w:r>
        <w:rPr>
          <w:rFonts w:hint="eastAsia" w:ascii="仿宋" w:hAnsi="仿宋" w:eastAsia="仿宋"/>
          <w:sz w:val="32"/>
          <w:szCs w:val="32"/>
        </w:rPr>
        <w:t>年，一般公共预算拨款“三公”经费支出合计</w:t>
      </w:r>
      <w:r>
        <w:rPr>
          <w:rFonts w:ascii="仿宋" w:hAnsi="仿宋" w:eastAsia="仿宋"/>
          <w:sz w:val="32"/>
          <w:szCs w:val="32"/>
        </w:rPr>
        <w:t>0.47</w:t>
      </w:r>
      <w:r>
        <w:rPr>
          <w:rFonts w:hint="eastAsia" w:ascii="仿宋" w:hAnsi="仿宋" w:eastAsia="仿宋"/>
          <w:sz w:val="32"/>
          <w:szCs w:val="32"/>
        </w:rPr>
        <w:t>万元，比上年减少</w:t>
      </w:r>
      <w:r>
        <w:rPr>
          <w:rFonts w:ascii="仿宋" w:hAnsi="仿宋" w:eastAsia="仿宋"/>
          <w:sz w:val="32"/>
          <w:szCs w:val="32"/>
        </w:rPr>
        <w:t>0.03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s="仿宋"/>
          <w:b w:val="0"/>
          <w:i w:val="0"/>
          <w:caps w:val="0"/>
          <w:color w:val="484848"/>
          <w:spacing w:val="0"/>
          <w:sz w:val="32"/>
          <w:szCs w:val="32"/>
          <w:shd w:val="clear" w:fill="FFFFFF"/>
        </w:rPr>
        <w:t>主要原因是严格执行中央“八项规定”，严控公务接待开支，公务接待活动减少</w:t>
      </w:r>
      <w:r>
        <w:rPr>
          <w:rFonts w:hint="eastAsia" w:ascii="仿宋" w:hAnsi="仿宋" w:eastAsia="仿宋"/>
          <w:sz w:val="32"/>
          <w:szCs w:val="32"/>
        </w:rPr>
        <w:t>。其中：公务接待费</w:t>
      </w:r>
      <w:r>
        <w:rPr>
          <w:rFonts w:ascii="仿宋" w:hAnsi="仿宋" w:eastAsia="仿宋"/>
          <w:sz w:val="32"/>
          <w:szCs w:val="32"/>
        </w:rPr>
        <w:t>0.47</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w:t>
      </w:r>
    </w:p>
    <w:p>
      <w:pPr>
        <w:pStyle w:val="6"/>
        <w:numPr>
          <w:ilvl w:val="0"/>
          <w:numId w:val="1"/>
        </w:numPr>
        <w:ind w:firstLineChars="0"/>
        <w:rPr>
          <w:rFonts w:ascii="仿宋" w:hAnsi="仿宋" w:eastAsia="仿宋"/>
          <w:b/>
          <w:bCs/>
          <w:sz w:val="32"/>
          <w:szCs w:val="32"/>
        </w:rPr>
      </w:pPr>
      <w:r>
        <w:rPr>
          <w:rFonts w:hint="eastAsia" w:ascii="仿宋" w:hAnsi="仿宋" w:eastAsia="仿宋"/>
          <w:b/>
          <w:bCs/>
          <w:sz w:val="32"/>
          <w:szCs w:val="32"/>
          <w:lang w:eastAsia="zh-CN"/>
        </w:rPr>
        <w:t>其他需要说明的情况</w:t>
      </w:r>
    </w:p>
    <w:p>
      <w:pPr>
        <w:pStyle w:val="6"/>
        <w:numPr>
          <w:ilvl w:val="0"/>
          <w:numId w:val="0"/>
        </w:numPr>
        <w:ind w:left="720" w:leftChars="0"/>
        <w:rPr>
          <w:rFonts w:ascii="仿宋" w:hAnsi="仿宋" w:eastAsia="仿宋"/>
          <w:sz w:val="32"/>
          <w:szCs w:val="32"/>
        </w:rPr>
      </w:pPr>
      <w:r>
        <w:rPr>
          <w:rFonts w:hint="eastAsia" w:ascii="仿宋" w:hAnsi="仿宋" w:eastAsia="仿宋"/>
          <w:b/>
          <w:sz w:val="32"/>
          <w:szCs w:val="32"/>
          <w:lang w:eastAsia="zh-CN"/>
        </w:rPr>
        <w:t>（一）</w:t>
      </w:r>
      <w:r>
        <w:rPr>
          <w:rFonts w:hint="eastAsia" w:ascii="仿宋" w:hAnsi="仿宋" w:eastAsia="仿宋"/>
          <w:b/>
          <w:sz w:val="32"/>
          <w:szCs w:val="32"/>
        </w:rPr>
        <w:t>机关运行经费安排情况说明</w:t>
      </w:r>
    </w:p>
    <w:p>
      <w:pPr>
        <w:ind w:firstLine="640" w:firstLineChars="200"/>
        <w:rPr>
          <w:rFonts w:ascii="仿宋" w:hAnsi="仿宋" w:eastAsia="仿宋"/>
          <w:sz w:val="32"/>
          <w:szCs w:val="32"/>
        </w:rPr>
      </w:pPr>
      <w:r>
        <w:rPr>
          <w:rFonts w:hint="eastAsia" w:ascii="仿宋" w:hAnsi="仿宋" w:eastAsia="仿宋"/>
          <w:sz w:val="32"/>
          <w:szCs w:val="32"/>
        </w:rPr>
        <w:t>一般公共预算</w:t>
      </w:r>
      <w:r>
        <w:rPr>
          <w:rFonts w:ascii="仿宋" w:hAnsi="仿宋" w:eastAsia="仿宋"/>
          <w:sz w:val="32"/>
          <w:szCs w:val="32"/>
        </w:rPr>
        <w:t>11.04</w:t>
      </w:r>
      <w:r>
        <w:rPr>
          <w:rFonts w:hint="eastAsia" w:ascii="仿宋" w:hAnsi="仿宋" w:eastAsia="仿宋"/>
          <w:sz w:val="32"/>
          <w:szCs w:val="32"/>
        </w:rPr>
        <w:t>万元，其中：办公费</w:t>
      </w:r>
      <w:r>
        <w:rPr>
          <w:rFonts w:ascii="仿宋" w:hAnsi="仿宋" w:eastAsia="仿宋"/>
          <w:sz w:val="32"/>
          <w:szCs w:val="32"/>
        </w:rPr>
        <w:t>1.5</w:t>
      </w:r>
      <w:r>
        <w:rPr>
          <w:rFonts w:hint="eastAsia" w:ascii="仿宋" w:hAnsi="仿宋" w:eastAsia="仿宋"/>
          <w:sz w:val="32"/>
          <w:szCs w:val="32"/>
        </w:rPr>
        <w:t>万元，印刷费</w:t>
      </w:r>
      <w:r>
        <w:rPr>
          <w:rFonts w:ascii="仿宋" w:hAnsi="仿宋" w:eastAsia="仿宋"/>
          <w:sz w:val="32"/>
          <w:szCs w:val="32"/>
        </w:rPr>
        <w:t>0.2</w:t>
      </w:r>
      <w:r>
        <w:rPr>
          <w:rFonts w:hint="eastAsia" w:ascii="仿宋" w:hAnsi="仿宋" w:eastAsia="仿宋"/>
          <w:sz w:val="32"/>
          <w:szCs w:val="32"/>
        </w:rPr>
        <w:t>万元，手续费</w:t>
      </w:r>
      <w:r>
        <w:rPr>
          <w:rFonts w:ascii="仿宋" w:hAnsi="仿宋" w:eastAsia="仿宋"/>
          <w:sz w:val="32"/>
          <w:szCs w:val="32"/>
        </w:rPr>
        <w:t>0.1</w:t>
      </w:r>
      <w:r>
        <w:rPr>
          <w:rFonts w:hint="eastAsia" w:ascii="仿宋" w:hAnsi="仿宋" w:eastAsia="仿宋"/>
          <w:sz w:val="32"/>
          <w:szCs w:val="32"/>
        </w:rPr>
        <w:t>万元，邮电费</w:t>
      </w:r>
      <w:r>
        <w:rPr>
          <w:rFonts w:ascii="仿宋" w:hAnsi="仿宋" w:eastAsia="仿宋"/>
          <w:sz w:val="32"/>
          <w:szCs w:val="32"/>
        </w:rPr>
        <w:t>2.4</w:t>
      </w:r>
      <w:r>
        <w:rPr>
          <w:rFonts w:hint="eastAsia" w:ascii="仿宋" w:hAnsi="仿宋" w:eastAsia="仿宋"/>
          <w:sz w:val="32"/>
          <w:szCs w:val="32"/>
        </w:rPr>
        <w:t>万元，差旅费</w:t>
      </w:r>
      <w:r>
        <w:rPr>
          <w:rFonts w:ascii="仿宋" w:hAnsi="仿宋" w:eastAsia="仿宋"/>
          <w:sz w:val="32"/>
          <w:szCs w:val="32"/>
        </w:rPr>
        <w:t>2</w:t>
      </w:r>
      <w:r>
        <w:rPr>
          <w:rFonts w:hint="eastAsia" w:ascii="仿宋" w:hAnsi="仿宋" w:eastAsia="仿宋"/>
          <w:sz w:val="32"/>
          <w:szCs w:val="32"/>
        </w:rPr>
        <w:t>万元，维修（护）费</w:t>
      </w:r>
      <w:r>
        <w:rPr>
          <w:rFonts w:ascii="仿宋" w:hAnsi="仿宋" w:eastAsia="仿宋"/>
          <w:sz w:val="32"/>
          <w:szCs w:val="32"/>
        </w:rPr>
        <w:t>0.5</w:t>
      </w:r>
      <w:r>
        <w:rPr>
          <w:rFonts w:hint="eastAsia" w:ascii="仿宋" w:hAnsi="仿宋" w:eastAsia="仿宋"/>
          <w:sz w:val="32"/>
          <w:szCs w:val="32"/>
        </w:rPr>
        <w:t>万元，培训费</w:t>
      </w:r>
      <w:r>
        <w:rPr>
          <w:rFonts w:ascii="仿宋" w:hAnsi="仿宋" w:eastAsia="仿宋"/>
          <w:sz w:val="32"/>
          <w:szCs w:val="32"/>
        </w:rPr>
        <w:t>0.8</w:t>
      </w:r>
      <w:r>
        <w:rPr>
          <w:rFonts w:hint="eastAsia" w:ascii="仿宋" w:hAnsi="仿宋" w:eastAsia="仿宋"/>
          <w:sz w:val="32"/>
          <w:szCs w:val="32"/>
        </w:rPr>
        <w:t>万元，公务接待费</w:t>
      </w:r>
      <w:r>
        <w:rPr>
          <w:rFonts w:ascii="仿宋" w:hAnsi="仿宋" w:eastAsia="仿宋"/>
          <w:sz w:val="32"/>
          <w:szCs w:val="32"/>
        </w:rPr>
        <w:t>0.47</w:t>
      </w:r>
      <w:r>
        <w:rPr>
          <w:rFonts w:hint="eastAsia" w:ascii="仿宋" w:hAnsi="仿宋" w:eastAsia="仿宋"/>
          <w:sz w:val="32"/>
          <w:szCs w:val="32"/>
        </w:rPr>
        <w:t>万元，其他交通费用</w:t>
      </w:r>
      <w:r>
        <w:rPr>
          <w:rFonts w:ascii="仿宋" w:hAnsi="仿宋" w:eastAsia="仿宋"/>
          <w:sz w:val="32"/>
          <w:szCs w:val="32"/>
        </w:rPr>
        <w:t>2.94</w:t>
      </w:r>
      <w:r>
        <w:rPr>
          <w:rFonts w:hint="eastAsia" w:ascii="仿宋" w:hAnsi="仿宋" w:eastAsia="仿宋"/>
          <w:sz w:val="32"/>
          <w:szCs w:val="32"/>
        </w:rPr>
        <w:t>万元，其他商品和服务支出</w:t>
      </w:r>
      <w:r>
        <w:rPr>
          <w:rFonts w:ascii="仿宋" w:hAnsi="仿宋" w:eastAsia="仿宋"/>
          <w:sz w:val="32"/>
          <w:szCs w:val="32"/>
        </w:rPr>
        <w:t>0.13</w:t>
      </w:r>
      <w:r>
        <w:rPr>
          <w:rFonts w:hint="eastAsia" w:ascii="仿宋" w:hAnsi="仿宋" w:eastAsia="仿宋"/>
          <w:sz w:val="32"/>
          <w:szCs w:val="32"/>
        </w:rPr>
        <w:t>万元。</w:t>
      </w:r>
    </w:p>
    <w:p>
      <w:pPr>
        <w:ind w:firstLine="643" w:firstLineChars="200"/>
        <w:rPr>
          <w:rFonts w:ascii="仿宋" w:hAnsi="仿宋" w:eastAsia="仿宋"/>
          <w:b/>
          <w:sz w:val="32"/>
          <w:szCs w:val="32"/>
        </w:rPr>
      </w:pPr>
      <w:r>
        <w:rPr>
          <w:rFonts w:hint="eastAsia" w:ascii="仿宋" w:hAnsi="仿宋" w:eastAsia="仿宋"/>
          <w:b/>
          <w:sz w:val="32"/>
          <w:szCs w:val="32"/>
          <w:lang w:eastAsia="zh-CN"/>
        </w:rPr>
        <w:t>（二）</w:t>
      </w:r>
      <w:r>
        <w:rPr>
          <w:rFonts w:hint="eastAsia" w:ascii="仿宋" w:hAnsi="仿宋" w:eastAsia="仿宋"/>
          <w:b/>
          <w:sz w:val="32"/>
          <w:szCs w:val="32"/>
        </w:rPr>
        <w:t>政府采购安排情况</w:t>
      </w:r>
    </w:p>
    <w:p>
      <w:pPr>
        <w:ind w:firstLine="640" w:firstLineChars="200"/>
        <w:rPr>
          <w:rFonts w:ascii="仿宋" w:hAnsi="仿宋" w:eastAsia="仿宋"/>
          <w:sz w:val="32"/>
          <w:szCs w:val="32"/>
        </w:rPr>
      </w:pPr>
      <w:r>
        <w:rPr>
          <w:rFonts w:ascii="仿宋" w:hAnsi="仿宋" w:eastAsia="仿宋"/>
          <w:sz w:val="32"/>
          <w:szCs w:val="32"/>
        </w:rPr>
        <w:t>2018</w:t>
      </w:r>
      <w:r>
        <w:rPr>
          <w:rFonts w:hint="eastAsia" w:ascii="仿宋" w:hAnsi="仿宋" w:eastAsia="仿宋"/>
          <w:sz w:val="32"/>
          <w:szCs w:val="32"/>
        </w:rPr>
        <w:t>年我分局无政府采购预算安排。</w:t>
      </w:r>
    </w:p>
    <w:p>
      <w:pPr>
        <w:ind w:firstLine="643" w:firstLineChars="200"/>
        <w:rPr>
          <w:rFonts w:ascii="仿宋_GB2312" w:eastAsia="仿宋_GB2312"/>
          <w:b/>
          <w:sz w:val="32"/>
          <w:szCs w:val="32"/>
        </w:rPr>
      </w:pPr>
      <w:r>
        <w:rPr>
          <w:rFonts w:hint="eastAsia" w:ascii="仿宋_GB2312" w:eastAsia="仿宋_GB2312"/>
          <w:b/>
          <w:sz w:val="32"/>
          <w:szCs w:val="32"/>
          <w:lang w:eastAsia="zh-CN"/>
        </w:rPr>
        <w:t>（三）</w:t>
      </w:r>
      <w:r>
        <w:rPr>
          <w:rFonts w:hint="eastAsia" w:ascii="仿宋_GB2312" w:eastAsia="仿宋_GB2312"/>
          <w:b/>
          <w:sz w:val="32"/>
          <w:szCs w:val="32"/>
        </w:rPr>
        <w:t>关于国有资产占用情况说明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我分局租金收入严格遵守市财政局关于行政事业单位国有资产管理的有关规定，按“收支两条线”管理。</w:t>
      </w:r>
      <w:r>
        <w:rPr>
          <w:rFonts w:ascii="仿宋_GB2312" w:eastAsia="仿宋_GB2312"/>
          <w:sz w:val="32"/>
          <w:szCs w:val="32"/>
        </w:rPr>
        <w:t>2017</w:t>
      </w:r>
      <w:r>
        <w:rPr>
          <w:rFonts w:hint="eastAsia" w:ascii="仿宋_GB2312" w:eastAsia="仿宋_GB2312"/>
          <w:sz w:val="32"/>
          <w:szCs w:val="32"/>
        </w:rPr>
        <w:t>年底，我分局</w:t>
      </w:r>
      <w:r>
        <w:rPr>
          <w:rFonts w:ascii="仿宋_GB2312" w:eastAsia="仿宋_GB2312"/>
          <w:sz w:val="32"/>
          <w:szCs w:val="32"/>
        </w:rPr>
        <w:t>4</w:t>
      </w:r>
      <w:r>
        <w:rPr>
          <w:rFonts w:hint="eastAsia" w:ascii="仿宋_GB2312" w:eastAsia="仿宋_GB2312"/>
          <w:sz w:val="32"/>
          <w:szCs w:val="32"/>
        </w:rPr>
        <w:t>家出租铺面合同均到期，根据《房屋租赁合同》的第二条第</w:t>
      </w:r>
      <w:r>
        <w:rPr>
          <w:rFonts w:ascii="仿宋_GB2312" w:eastAsia="仿宋_GB2312"/>
          <w:sz w:val="32"/>
          <w:szCs w:val="32"/>
        </w:rPr>
        <w:t>2</w:t>
      </w:r>
      <w:r>
        <w:rPr>
          <w:rFonts w:hint="eastAsia" w:ascii="仿宋_GB2312" w:eastAsia="仿宋_GB2312"/>
          <w:sz w:val="32"/>
          <w:szCs w:val="32"/>
        </w:rPr>
        <w:t>点，承租人均向我分局提出续租的要求，我们已经市粮食局批准，并向市财政局递交铺面续租申请表，目前市财政局审批办理中。</w:t>
      </w:r>
      <w:r>
        <w:rPr>
          <w:rFonts w:ascii="仿宋_GB2312" w:eastAsia="仿宋_GB2312"/>
          <w:sz w:val="32"/>
          <w:szCs w:val="32"/>
        </w:rPr>
        <w:t>2018</w:t>
      </w:r>
      <w:r>
        <w:rPr>
          <w:rFonts w:hint="eastAsia" w:ascii="仿宋_GB2312" w:eastAsia="仿宋_GB2312"/>
          <w:sz w:val="32"/>
          <w:szCs w:val="32"/>
        </w:rPr>
        <w:t>年预计租金收入</w:t>
      </w:r>
      <w:r>
        <w:rPr>
          <w:rFonts w:ascii="仿宋_GB2312" w:eastAsia="仿宋_GB2312"/>
          <w:sz w:val="32"/>
          <w:szCs w:val="32"/>
        </w:rPr>
        <w:t>55</w:t>
      </w:r>
      <w:r>
        <w:rPr>
          <w:rFonts w:hint="eastAsia" w:ascii="仿宋_GB2312" w:eastAsia="仿宋_GB2312"/>
          <w:sz w:val="32"/>
          <w:szCs w:val="32"/>
        </w:rPr>
        <w:t>万元。</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rPr>
        <w:t>关于</w:t>
      </w:r>
      <w:r>
        <w:rPr>
          <w:rFonts w:ascii="仿宋_GB2312" w:eastAsia="仿宋_GB2312"/>
          <w:b/>
          <w:sz w:val="32"/>
          <w:szCs w:val="32"/>
        </w:rPr>
        <w:t>2018</w:t>
      </w:r>
      <w:r>
        <w:rPr>
          <w:rFonts w:hint="eastAsia" w:ascii="仿宋_GB2312" w:eastAsia="仿宋_GB2312"/>
          <w:b/>
          <w:sz w:val="32"/>
          <w:szCs w:val="32"/>
        </w:rPr>
        <w:t>年度预算绩效情况的说明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我分局无纳入市财政绩效评价的重点项目预算。</w:t>
      </w:r>
    </w:p>
    <w:p>
      <w:pPr>
        <w:ind w:firstLine="643" w:firstLineChars="200"/>
        <w:rPr>
          <w:rFonts w:ascii="仿宋" w:hAnsi="仿宋" w:eastAsia="仿宋"/>
          <w:b/>
          <w:bCs/>
          <w:sz w:val="32"/>
          <w:szCs w:val="32"/>
        </w:rPr>
      </w:pPr>
      <w:r>
        <w:rPr>
          <w:rFonts w:hint="eastAsia" w:ascii="仿宋" w:hAnsi="仿宋" w:eastAsia="仿宋"/>
          <w:b/>
          <w:bCs/>
          <w:sz w:val="32"/>
          <w:szCs w:val="32"/>
          <w:lang w:eastAsia="zh-CN"/>
        </w:rPr>
        <w:t>（五）</w:t>
      </w:r>
      <w:r>
        <w:rPr>
          <w:rFonts w:hint="eastAsia" w:ascii="仿宋" w:hAnsi="仿宋" w:eastAsia="仿宋"/>
          <w:b/>
          <w:bCs/>
          <w:sz w:val="32"/>
          <w:szCs w:val="32"/>
        </w:rPr>
        <w:t>专业名词解释</w:t>
      </w:r>
    </w:p>
    <w:p>
      <w:pPr>
        <w:ind w:firstLine="640" w:firstLineChars="200"/>
        <w:rPr>
          <w:rFonts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基本支出：指为保障机构正常运转、完成日常工作任务而发生的人员支出和公用支出。</w:t>
      </w:r>
    </w:p>
    <w:p>
      <w:pPr>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项目支出</w:t>
      </w:r>
      <w:r>
        <w:rPr>
          <w:rFonts w:ascii="仿宋" w:hAnsi="仿宋" w:eastAsia="仿宋"/>
          <w:sz w:val="32"/>
          <w:szCs w:val="32"/>
        </w:rPr>
        <w:t>:</w:t>
      </w:r>
      <w:r>
        <w:rPr>
          <w:rFonts w:hint="eastAsia" w:ascii="仿宋" w:hAnsi="仿宋" w:eastAsia="仿宋"/>
          <w:sz w:val="32"/>
          <w:szCs w:val="32"/>
        </w:rPr>
        <w:t>指在基本支出之外为完成特定行政任务和事业发展目标所发生的支出。</w:t>
      </w:r>
    </w:p>
    <w:p>
      <w:pPr>
        <w:ind w:firstLine="640" w:firstLineChars="200"/>
        <w:rPr>
          <w:rFonts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三公”经费：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过路过桥费、保险费、安全奖励费用等支出；公务接待费反映单位按规定开支的各类公务接待（含外宾接待）支出。</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4、</w:t>
      </w:r>
      <w:bookmarkStart w:id="0" w:name="_GoBack"/>
      <w:bookmarkEnd w:id="0"/>
      <w:r>
        <w:rPr>
          <w:rFonts w:hint="eastAsia" w:ascii="仿宋" w:hAnsi="仿宋" w:eastAsia="仿宋"/>
          <w:sz w:val="32"/>
          <w:szCs w:val="32"/>
        </w:rPr>
        <w:t>机关运行经费：为保障行政单位（含参照公务员法管理的事业单位）运行用于购买货物和服务的各项资金，包括办公及印刷费、邮电费、差旅费、会议费、福利费、日常维护费、专用材料及一般设备购置费、办公用房水电费、办公用房物业管理费、公务用车运行维护费以及其他费用。</w:t>
      </w:r>
    </w:p>
    <w:p>
      <w:pPr>
        <w:ind w:firstLine="640" w:firstLineChars="200"/>
        <w:rPr>
          <w:rFonts w:hint="eastAsia" w:ascii="仿宋" w:hAnsi="仿宋" w:eastAsia="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"http://www.zjczj.gov.cn/fileserver/News/364161c8-19f6-4baa-bb50-0ccf8fe93c13.xls" \o "附件：附件一：2018年财政拨款收支总表"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附件一：2018年财政拨款收支总表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"http://www.zjczj.gov.cn/fileserver/News/df6b05f4-ab46-4ca2-84c3-d7d668399510.xls" \o "附件：附件二：2018年一般公共预算支出表"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附件二：2018年一般公共预算支出表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18" w:leftChars="304" w:right="0" w:rightChars="0" w:hanging="1280" w:hangingChars="4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"http://www.zjczj.gov.cn/fileserver/News/fbe9e3b9-c5d4-485e-8168-4d57529b2ec9.xls" \o "附件：附件三：2018年一般公共预算基本支出表（部门经济分类）"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附件三：2018年一般公共预算基本支出表（部门经济分类）</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918" w:leftChars="304" w:right="0" w:rightChars="0" w:hanging="1280" w:hangingChars="4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"http://www.zjczj.gov.cn/fileserver/News/0af8d299-74e5-4e76-823e-11c160d03e38.xls" \o "附件：附件四：2018年一般公共预算基本支出表（政府经济分类）"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附件四：2018年一般公共预算基本支出表（政府经济分类）</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"http://www.zjczj.gov.cn/fileserver/News/e9c667c2-ee87-45c8-bc6d-b2b2b4d1f18c.xls" \o "附件：附件五：2018年一般公共预算\“三公\”经费支出表"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附件五：2018年一般公共预算“三公”经费支出表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"http://www.zjczj.gov.cn/fileserver/News/b3ca9ae0-c89a-46e0-8c3c-4fbf6de23f04.xls" \o "附件：附件六：2018年政府性基金预算支出表"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附件六：2018年政府性基金预算支出表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"http://www.zjczj.gov.cn/fileserver/News/c13309d8-7ba2-4dc0-880e-609ec7dd0d2e.xls" \o "附件：附件七：2018年部门收支总表"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附件七：2018年部门收支总表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"http://www.zjczj.gov.cn/fileserver/News/8784327b-4c75-4f64-8548-176d8db44c69.xls" \o "附件：附件八：2018年部门收入表"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附件八：2018年部门收入表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"http://www.zjczj.gov.cn/fileserver/News/6d5cda87-27b8-4e19-af41-b206485e5c54.xls" \o "附件：附件九：2018年部门支出表"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附件九：2018年部门支出表</w:t>
      </w:r>
      <w:r>
        <w:rPr>
          <w:rFonts w:hint="eastAsia" w:ascii="仿宋" w:hAnsi="仿宋" w:eastAsia="仿宋" w:cs="仿宋"/>
          <w:b w:val="0"/>
          <w:i w:val="0"/>
          <w:caps w:val="0"/>
          <w:color w:val="333333"/>
          <w:spacing w:val="0"/>
          <w:sz w:val="32"/>
          <w:szCs w:val="32"/>
          <w:u w:val="none"/>
          <w:shd w:val="clear" w:fill="FFFFFF"/>
        </w:rPr>
        <w:fldChar w:fldCharType="end"/>
      </w:r>
    </w:p>
    <w:p>
      <w:pPr>
        <w:numPr>
          <w:ilvl w:val="0"/>
          <w:numId w:val="0"/>
        </w:numPr>
        <w:rPr>
          <w:rFonts w:hint="eastAsia" w:ascii="仿宋" w:hAnsi="仿宋" w:eastAsia="仿宋" w:cs="仿宋"/>
          <w:b w:val="0"/>
          <w:i w:val="0"/>
          <w:caps w:val="0"/>
          <w:color w:val="333333"/>
          <w:spacing w:val="0"/>
          <w:sz w:val="32"/>
          <w:szCs w:val="32"/>
          <w:u w:val="none"/>
          <w:shd w:val="clear" w:fill="FFFFFF"/>
        </w:rPr>
      </w:pPr>
    </w:p>
    <w:p>
      <w:pPr>
        <w:ind w:firstLine="640" w:firstLineChars="200"/>
        <w:rPr>
          <w:rFonts w:hint="eastAsia" w:ascii="仿宋" w:hAnsi="仿宋" w:eastAsia="仿宋"/>
          <w:sz w:val="32"/>
          <w:szCs w:val="32"/>
        </w:rPr>
      </w:pPr>
    </w:p>
    <w:p>
      <w:pPr>
        <w:numPr>
          <w:ilvl w:val="0"/>
          <w:numId w:val="0"/>
        </w:numPr>
        <w:rPr>
          <w:rFonts w:hint="eastAsia" w:ascii="仿宋_GB2312" w:eastAsia="仿宋_GB2312"/>
          <w:sz w:val="32"/>
          <w:szCs w:val="32"/>
        </w:rPr>
      </w:pPr>
    </w:p>
    <w:p>
      <w:pPr>
        <w:ind w:firstLine="640" w:firstLineChars="200"/>
        <w:rPr>
          <w:rFonts w:ascii="仿宋" w:hAnsi="仿宋" w:eastAsia="仿宋"/>
          <w:sz w:val="32"/>
          <w:szCs w:val="32"/>
        </w:rPr>
      </w:pPr>
    </w:p>
    <w:p>
      <w:pPr>
        <w:widowControl/>
        <w:ind w:firstLine="640" w:firstLineChars="200"/>
        <w:jc w:val="left"/>
        <w:rPr>
          <w:rFonts w:ascii="仿宋" w:hAnsi="仿宋" w:eastAsia="仿宋" w:cs="宋体"/>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_5b8b_4f53">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华康简标题宋">
    <w:altName w:val="微软雅黑"/>
    <w:panose1 w:val="0201060900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B6FC8"/>
    <w:multiLevelType w:val="multilevel"/>
    <w:tmpl w:val="4CBB6FC8"/>
    <w:lvl w:ilvl="0" w:tentative="0">
      <w:start w:val="1"/>
      <w:numFmt w:val="japaneseCounting"/>
      <w:lvlText w:val="%1、"/>
      <w:lvlJc w:val="left"/>
      <w:pPr>
        <w:ind w:left="1440" w:hanging="720"/>
      </w:pPr>
      <w:rPr>
        <w:rFonts w:hint="default" w:cs="Times New Roman"/>
        <w:b/>
      </w:rPr>
    </w:lvl>
    <w:lvl w:ilvl="1" w:tentative="0">
      <w:start w:val="1"/>
      <w:numFmt w:val="lowerLetter"/>
      <w:lvlText w:val="%2)"/>
      <w:lvlJc w:val="left"/>
      <w:pPr>
        <w:ind w:left="1560" w:hanging="420"/>
      </w:pPr>
      <w:rPr>
        <w:rFonts w:cs="Times New Roman"/>
      </w:rPr>
    </w:lvl>
    <w:lvl w:ilvl="2" w:tentative="0">
      <w:start w:val="1"/>
      <w:numFmt w:val="lowerRoman"/>
      <w:lvlText w:val="%3."/>
      <w:lvlJc w:val="right"/>
      <w:pPr>
        <w:ind w:left="1980" w:hanging="420"/>
      </w:pPr>
      <w:rPr>
        <w:rFonts w:cs="Times New Roman"/>
      </w:rPr>
    </w:lvl>
    <w:lvl w:ilvl="3" w:tentative="0">
      <w:start w:val="1"/>
      <w:numFmt w:val="decimal"/>
      <w:lvlText w:val="%4."/>
      <w:lvlJc w:val="left"/>
      <w:pPr>
        <w:ind w:left="2400" w:hanging="420"/>
      </w:pPr>
      <w:rPr>
        <w:rFonts w:cs="Times New Roman"/>
      </w:rPr>
    </w:lvl>
    <w:lvl w:ilvl="4" w:tentative="0">
      <w:start w:val="1"/>
      <w:numFmt w:val="lowerLetter"/>
      <w:lvlText w:val="%5)"/>
      <w:lvlJc w:val="left"/>
      <w:pPr>
        <w:ind w:left="2820" w:hanging="420"/>
      </w:pPr>
      <w:rPr>
        <w:rFonts w:cs="Times New Roman"/>
      </w:rPr>
    </w:lvl>
    <w:lvl w:ilvl="5" w:tentative="0">
      <w:start w:val="1"/>
      <w:numFmt w:val="lowerRoman"/>
      <w:lvlText w:val="%6."/>
      <w:lvlJc w:val="right"/>
      <w:pPr>
        <w:ind w:left="3240" w:hanging="420"/>
      </w:pPr>
      <w:rPr>
        <w:rFonts w:cs="Times New Roman"/>
      </w:rPr>
    </w:lvl>
    <w:lvl w:ilvl="6" w:tentative="0">
      <w:start w:val="1"/>
      <w:numFmt w:val="decimal"/>
      <w:lvlText w:val="%7."/>
      <w:lvlJc w:val="left"/>
      <w:pPr>
        <w:ind w:left="3660" w:hanging="420"/>
      </w:pPr>
      <w:rPr>
        <w:rFonts w:cs="Times New Roman"/>
      </w:rPr>
    </w:lvl>
    <w:lvl w:ilvl="7" w:tentative="0">
      <w:start w:val="1"/>
      <w:numFmt w:val="lowerLetter"/>
      <w:lvlText w:val="%8)"/>
      <w:lvlJc w:val="left"/>
      <w:pPr>
        <w:ind w:left="4080" w:hanging="420"/>
      </w:pPr>
      <w:rPr>
        <w:rFonts w:cs="Times New Roman"/>
      </w:rPr>
    </w:lvl>
    <w:lvl w:ilvl="8" w:tentative="0">
      <w:start w:val="1"/>
      <w:numFmt w:val="lowerRoman"/>
      <w:lvlText w:val="%9."/>
      <w:lvlJc w:val="right"/>
      <w:pPr>
        <w:ind w:left="4500" w:hanging="420"/>
      </w:pPr>
      <w:rPr>
        <w:rFonts w:cs="Times New Roman"/>
      </w:rPr>
    </w:lvl>
  </w:abstractNum>
  <w:abstractNum w:abstractNumId="1">
    <w:nsid w:val="548E54D2"/>
    <w:multiLevelType w:val="singleLevel"/>
    <w:tmpl w:val="548E54D2"/>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10F9"/>
    <w:rsid w:val="000021E6"/>
    <w:rsid w:val="00062023"/>
    <w:rsid w:val="001157F1"/>
    <w:rsid w:val="003B6663"/>
    <w:rsid w:val="00461B84"/>
    <w:rsid w:val="00477933"/>
    <w:rsid w:val="004913F2"/>
    <w:rsid w:val="00604A16"/>
    <w:rsid w:val="0067392C"/>
    <w:rsid w:val="006E464E"/>
    <w:rsid w:val="00701DE4"/>
    <w:rsid w:val="007312C2"/>
    <w:rsid w:val="007B5769"/>
    <w:rsid w:val="007F10F9"/>
    <w:rsid w:val="00901DD2"/>
    <w:rsid w:val="009371E5"/>
    <w:rsid w:val="00943471"/>
    <w:rsid w:val="009557EB"/>
    <w:rsid w:val="009B5013"/>
    <w:rsid w:val="00A42B1E"/>
    <w:rsid w:val="00AC6C34"/>
    <w:rsid w:val="00AD1620"/>
    <w:rsid w:val="00B77590"/>
    <w:rsid w:val="00BE2442"/>
    <w:rsid w:val="00CD3B2F"/>
    <w:rsid w:val="00CF5C61"/>
    <w:rsid w:val="00D37D23"/>
    <w:rsid w:val="00E44E23"/>
    <w:rsid w:val="00E513D1"/>
    <w:rsid w:val="00E9411C"/>
    <w:rsid w:val="00E9478F"/>
    <w:rsid w:val="1CE50A09"/>
    <w:rsid w:val="2BBC10E2"/>
    <w:rsid w:val="343D424E"/>
    <w:rsid w:val="3CC13321"/>
    <w:rsid w:val="44060B2D"/>
    <w:rsid w:val="4C6F19E5"/>
    <w:rsid w:val="50416DD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99"/>
    <w:pPr>
      <w:ind w:firstLine="420" w:firstLineChars="200"/>
    </w:pPr>
  </w:style>
  <w:style w:type="character" w:customStyle="1" w:styleId="7">
    <w:name w:val="Header Char"/>
    <w:basedOn w:val="4"/>
    <w:link w:val="3"/>
    <w:semiHidden/>
    <w:qFormat/>
    <w:locked/>
    <w:uiPriority w:val="99"/>
    <w:rPr>
      <w:rFonts w:cs="Times New Roman"/>
      <w:sz w:val="18"/>
      <w:szCs w:val="18"/>
    </w:rPr>
  </w:style>
  <w:style w:type="character" w:customStyle="1" w:styleId="8">
    <w:name w:val="Footer Char"/>
    <w:basedOn w:val="4"/>
    <w:link w:val="2"/>
    <w:semiHidden/>
    <w:locked/>
    <w:uiPriority w:val="99"/>
    <w:rPr>
      <w:rFonts w:cs="Times New Roman"/>
      <w:sz w:val="18"/>
      <w:szCs w:val="18"/>
    </w:rPr>
  </w:style>
  <w:style w:type="paragraph" w:customStyle="1" w:styleId="9">
    <w:name w:val="p0"/>
    <w:basedOn w:val="1"/>
    <w:qFormat/>
    <w:uiPriority w:val="0"/>
    <w:pPr>
      <w:widowControl/>
      <w:spacing w:line="560" w:lineRule="atLeast"/>
      <w:ind w:firstLine="420"/>
    </w:pPr>
    <w:rPr>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4</Pages>
  <Words>291</Words>
  <Characters>1659</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2018-02-06T02:59:00Z</dcterms:created>
  <dc:creator>吴文思</dc:creator>
  <cp:lastModifiedBy>Administrator</cp:lastModifiedBy>
  <dcterms:modified xsi:type="dcterms:W3CDTF">2018-02-09T10:59:07Z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