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仿宋_GB2312" w:hAnsi="仿宋_GB2312" w:eastAsia="仿宋_GB2312" w:cs="仿宋_GB2312"/>
          <w:b/>
          <w:bCs/>
          <w:color w:val="auto"/>
          <w:sz w:val="44"/>
          <w:szCs w:val="44"/>
        </w:rPr>
      </w:pPr>
      <w:r>
        <w:rPr>
          <w:rFonts w:hint="eastAsia" w:ascii="仿宋_GB2312" w:hAnsi="仿宋_GB2312" w:eastAsia="仿宋_GB2312" w:cs="仿宋_GB2312"/>
          <w:b/>
          <w:bCs/>
          <w:color w:val="auto"/>
          <w:sz w:val="44"/>
          <w:szCs w:val="44"/>
        </w:rPr>
        <w:t>2018 年度</w:t>
      </w:r>
      <w:r>
        <w:rPr>
          <w:rFonts w:hint="eastAsia" w:ascii="仿宋_GB2312" w:hAnsi="仿宋_GB2312" w:eastAsia="仿宋_GB2312" w:cs="仿宋_GB2312"/>
          <w:b/>
          <w:bCs/>
          <w:color w:val="auto"/>
          <w:sz w:val="44"/>
          <w:szCs w:val="44"/>
          <w:lang w:eastAsia="zh-CN"/>
        </w:rPr>
        <w:t>湛江市粮食局麻章分局部门</w:t>
      </w:r>
      <w:r>
        <w:rPr>
          <w:rFonts w:hint="eastAsia" w:ascii="仿宋_GB2312" w:hAnsi="仿宋_GB2312" w:eastAsia="仿宋_GB2312" w:cs="仿宋_GB2312"/>
          <w:b/>
          <w:bCs/>
          <w:color w:val="auto"/>
          <w:sz w:val="44"/>
          <w:szCs w:val="44"/>
        </w:rPr>
        <w:t>预算公开</w:t>
      </w: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p>
    <w:p>
      <w:pPr>
        <w:jc w:val="center"/>
        <w:rPr>
          <w:rFonts w:hint="eastAsia" w:ascii="仿宋_GB2312" w:hAnsi="仿宋_GB2312" w:eastAsia="仿宋_GB2312" w:cs="仿宋_GB2312"/>
          <w:b/>
          <w:bCs/>
          <w:color w:val="auto"/>
          <w:sz w:val="44"/>
          <w:szCs w:val="44"/>
        </w:rPr>
      </w:pPr>
      <w:r>
        <w:rPr>
          <w:rFonts w:hint="eastAsia" w:ascii="仿宋_GB2312" w:hAnsi="仿宋_GB2312" w:eastAsia="仿宋_GB2312" w:cs="仿宋_GB2312"/>
          <w:b/>
          <w:bCs/>
          <w:color w:val="auto"/>
          <w:sz w:val="44"/>
          <w:szCs w:val="44"/>
        </w:rPr>
        <w:t>目录</w:t>
      </w:r>
    </w:p>
    <w:p>
      <w:pPr>
        <w:rPr>
          <w:rFonts w:hint="eastAsia" w:ascii="仿宋_GB2312" w:hAnsi="仿宋_GB2312" w:eastAsia="仿宋_GB2312" w:cs="仿宋_GB2312"/>
          <w:color w:val="auto"/>
          <w:sz w:val="32"/>
          <w:szCs w:val="32"/>
        </w:rPr>
      </w:pP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第一部分2018 年</w:t>
      </w:r>
      <w:r>
        <w:rPr>
          <w:rFonts w:hint="eastAsia" w:ascii="仿宋_GB2312" w:hAnsi="仿宋_GB2312" w:eastAsia="仿宋_GB2312" w:cs="仿宋_GB2312"/>
          <w:color w:val="auto"/>
          <w:sz w:val="32"/>
          <w:szCs w:val="32"/>
          <w:u w:val="none"/>
          <w:lang w:eastAsia="zh-CN"/>
        </w:rPr>
        <w:t>湛江市粮食局</w:t>
      </w:r>
      <w:r>
        <w:rPr>
          <w:rFonts w:hint="eastAsia" w:ascii="仿宋_GB2312" w:hAnsi="仿宋_GB2312" w:eastAsia="仿宋_GB2312" w:cs="仿宋_GB2312"/>
          <w:color w:val="auto"/>
          <w:sz w:val="32"/>
          <w:szCs w:val="32"/>
        </w:rPr>
        <w:t>部门</w:t>
      </w:r>
      <w:r>
        <w:rPr>
          <w:rFonts w:hint="eastAsia" w:ascii="仿宋_GB2312" w:hAnsi="仿宋_GB2312" w:eastAsia="仿宋_GB2312" w:cs="仿宋_GB2312"/>
          <w:color w:val="auto"/>
          <w:sz w:val="32"/>
          <w:szCs w:val="32"/>
          <w:lang w:eastAsia="zh-CN"/>
        </w:rPr>
        <w:t>麻章分局</w:t>
      </w:r>
      <w:r>
        <w:rPr>
          <w:rFonts w:hint="eastAsia" w:ascii="仿宋_GB2312" w:hAnsi="仿宋_GB2312" w:eastAsia="仿宋_GB2312" w:cs="仿宋_GB2312"/>
          <w:color w:val="auto"/>
          <w:sz w:val="32"/>
          <w:szCs w:val="32"/>
        </w:rPr>
        <w:t>预算基本情况说明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一、部门基本情况</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二、收入预算说明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三、支出预算说明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四、"三公"经费说明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五、其他需要说明的情况</w:t>
      </w:r>
    </w:p>
    <w:p>
      <w:pPr>
        <w:rPr>
          <w:rFonts w:hint="eastAsia" w:ascii="仿宋_GB2312" w:hAnsi="仿宋_GB2312" w:eastAsia="仿宋_GB2312" w:cs="仿宋_GB2312"/>
          <w:color w:val="auto"/>
          <w:sz w:val="32"/>
          <w:szCs w:val="32"/>
        </w:rPr>
      </w:pP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第二部分2018 年</w:t>
      </w:r>
      <w:r>
        <w:rPr>
          <w:rFonts w:hint="eastAsia" w:ascii="仿宋_GB2312" w:hAnsi="仿宋_GB2312" w:eastAsia="仿宋_GB2312" w:cs="仿宋_GB2312"/>
          <w:color w:val="auto"/>
          <w:sz w:val="32"/>
          <w:szCs w:val="32"/>
          <w:u w:val="none"/>
          <w:lang w:eastAsia="zh-CN"/>
        </w:rPr>
        <w:t>湛江市粮食局麻章分局</w:t>
      </w:r>
      <w:r>
        <w:rPr>
          <w:rFonts w:hint="eastAsia" w:ascii="仿宋_GB2312" w:hAnsi="仿宋_GB2312" w:eastAsia="仿宋_GB2312" w:cs="仿宋_GB2312"/>
          <w:color w:val="auto"/>
          <w:sz w:val="32"/>
          <w:szCs w:val="32"/>
        </w:rPr>
        <w:t>部门预算表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一、2018年财政拨款收支总表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二、2018年一般公共预算支出表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三、2018年一般公共预算基本支出表（部门经济分类）</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四、2018年一般公共预算基本支出表（政府经济分类）</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五、2018年一般公共预算“三公”经费支出表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六、2018年政府性基金预算支出表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七、2018年部门收支总表</w:t>
      </w:r>
    </w:p>
    <w:p>
      <w:pPr>
        <w:pStyle w:val="4"/>
        <w:snapToGrid w:val="0"/>
        <w:spacing w:line="600" w:lineRule="exact"/>
        <w:ind w:firstLine="640"/>
        <w:rPr>
          <w:rFonts w:hint="eastAsia" w:ascii="仿宋_GB2312" w:hAnsi="仿宋_GB2312" w:eastAsia="仿宋_GB2312" w:cs="仿宋_GB2312"/>
          <w:color w:val="auto"/>
        </w:rPr>
      </w:pPr>
      <w:r>
        <w:rPr>
          <w:rFonts w:hint="eastAsia" w:ascii="仿宋_GB2312" w:hAnsi="仿宋_GB2312" w:eastAsia="仿宋_GB2312" w:cs="仿宋_GB2312"/>
          <w:color w:val="auto"/>
        </w:rPr>
        <w:t>八、2018年部门收入表</w:t>
      </w:r>
    </w:p>
    <w:p>
      <w:pPr>
        <w:pStyle w:val="4"/>
        <w:snapToGrid w:val="0"/>
        <w:spacing w:line="600" w:lineRule="exact"/>
        <w:ind w:firstLine="640"/>
        <w:rPr>
          <w:rFonts w:hint="eastAsia" w:ascii="仿宋_GB2312" w:eastAsia="仿宋_GB2312"/>
          <w:color w:val="auto"/>
        </w:rPr>
      </w:pPr>
      <w:r>
        <w:rPr>
          <w:rFonts w:hint="eastAsia" w:ascii="仿宋_GB2312" w:hAnsi="仿宋_GB2312" w:eastAsia="仿宋_GB2312" w:cs="仿宋_GB2312"/>
          <w:color w:val="auto"/>
        </w:rPr>
        <w:t>九、2018年部门支出表</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620" w:lineRule="exact"/>
        <w:jc w:val="center"/>
        <w:rPr>
          <w:rFonts w:hint="eastAsia" w:ascii="仿宋_GB2312" w:eastAsia="仿宋_GB2312"/>
          <w:sz w:val="44"/>
          <w:szCs w:val="44"/>
        </w:rPr>
      </w:pPr>
    </w:p>
    <w:p>
      <w:pPr>
        <w:jc w:val="center"/>
        <w:rPr>
          <w:rFonts w:ascii="仿宋_GB2312" w:eastAsia="仿宋_GB2312"/>
          <w:b/>
          <w:color w:val="auto"/>
          <w:sz w:val="44"/>
          <w:szCs w:val="44"/>
        </w:rPr>
      </w:pPr>
      <w:r>
        <w:rPr>
          <w:rFonts w:ascii="仿宋_GB2312" w:eastAsia="仿宋_GB2312"/>
          <w:b/>
          <w:color w:val="auto"/>
          <w:sz w:val="44"/>
          <w:szCs w:val="44"/>
        </w:rPr>
        <w:t>2018</w:t>
      </w:r>
      <w:r>
        <w:rPr>
          <w:rFonts w:hint="eastAsia" w:ascii="仿宋_GB2312" w:eastAsia="仿宋_GB2312"/>
          <w:b/>
          <w:color w:val="auto"/>
          <w:sz w:val="44"/>
          <w:szCs w:val="44"/>
        </w:rPr>
        <w:t>年湛江市粮食局麻章分局</w:t>
      </w:r>
    </w:p>
    <w:p>
      <w:pPr>
        <w:jc w:val="center"/>
        <w:rPr>
          <w:rFonts w:ascii="仿宋_GB2312" w:eastAsia="仿宋_GB2312"/>
          <w:b/>
          <w:color w:val="auto"/>
          <w:sz w:val="44"/>
          <w:szCs w:val="44"/>
        </w:rPr>
      </w:pPr>
      <w:r>
        <w:rPr>
          <w:rFonts w:hint="eastAsia" w:ascii="仿宋_GB2312" w:eastAsia="仿宋_GB2312"/>
          <w:b/>
          <w:color w:val="auto"/>
          <w:sz w:val="44"/>
          <w:szCs w:val="44"/>
        </w:rPr>
        <w:t>部门预算基本情况说明</w:t>
      </w:r>
    </w:p>
    <w:p>
      <w:pPr>
        <w:jc w:val="left"/>
        <w:rPr>
          <w:rFonts w:ascii="仿宋_GB2312" w:eastAsia="仿宋_GB2312"/>
          <w:b/>
          <w:color w:val="auto"/>
          <w:sz w:val="32"/>
          <w:szCs w:val="32"/>
        </w:rPr>
      </w:pPr>
      <w:r>
        <w:rPr>
          <w:rFonts w:hint="eastAsia" w:ascii="仿宋_GB2312" w:eastAsia="仿宋_GB2312"/>
          <w:b/>
          <w:color w:val="auto"/>
          <w:sz w:val="32"/>
          <w:szCs w:val="32"/>
        </w:rPr>
        <w:t>一、基本情况</w:t>
      </w:r>
    </w:p>
    <w:p>
      <w:pPr>
        <w:numPr>
          <w:ilvl w:val="0"/>
          <w:numId w:val="1"/>
        </w:numPr>
        <w:rPr>
          <w:rFonts w:ascii="仿宋_GB2312" w:eastAsia="仿宋_GB2312"/>
          <w:b/>
          <w:color w:val="auto"/>
          <w:sz w:val="32"/>
          <w:szCs w:val="32"/>
        </w:rPr>
      </w:pPr>
      <w:r>
        <w:rPr>
          <w:rFonts w:hint="eastAsia" w:ascii="仿宋_GB2312" w:eastAsia="仿宋_GB2312"/>
          <w:b/>
          <w:color w:val="auto"/>
          <w:sz w:val="32"/>
          <w:szCs w:val="32"/>
        </w:rPr>
        <w:t>机构设置、职能</w:t>
      </w:r>
    </w:p>
    <w:p>
      <w:pPr>
        <w:autoSpaceDN w:val="0"/>
        <w:spacing w:line="600" w:lineRule="exact"/>
        <w:ind w:firstLine="640" w:firstLineChars="200"/>
        <w:jc w:val="left"/>
        <w:rPr>
          <w:rFonts w:ascii="仿宋_GB2312" w:eastAsia="仿宋_GB2312"/>
          <w:color w:val="auto"/>
          <w:sz w:val="32"/>
          <w:szCs w:val="32"/>
        </w:rPr>
      </w:pPr>
      <w:r>
        <w:rPr>
          <w:rFonts w:hint="eastAsia" w:ascii="仿宋_GB2312" w:eastAsia="仿宋_GB2312"/>
          <w:color w:val="auto"/>
          <w:sz w:val="32"/>
          <w:szCs w:val="32"/>
        </w:rPr>
        <w:t>湛江市粮食局麻章分局，是市粮食局的派出机构，是湛江市财政局全额拨款的</w:t>
      </w:r>
      <w:r>
        <w:rPr>
          <w:rFonts w:hint="eastAsia" w:ascii="仿宋" w:hAnsi="仿宋" w:eastAsia="仿宋"/>
          <w:color w:val="auto"/>
          <w:sz w:val="32"/>
          <w:szCs w:val="32"/>
        </w:rPr>
        <w:t>参照公务员管理</w:t>
      </w:r>
      <w:r>
        <w:rPr>
          <w:rFonts w:hint="eastAsia" w:ascii="仿宋_GB2312" w:eastAsia="仿宋_GB2312"/>
          <w:color w:val="auto"/>
          <w:sz w:val="32"/>
          <w:szCs w:val="32"/>
        </w:rPr>
        <w:t>的事业单位，负责辖区内粮食流通，监督粮食总量平衡，保障驻军粮油、应急粮油和地方储备粮管理等工作。主要职责是：贯彻执行国家、省、市政府粮食工作的各项方针、政策、法规，按“米袋子”政府负责制要求，保证区内粮食总量平衡；代管各级储备粮油；保障军队粮油供应；会同有关部门加强对辖区内粮食市场的管理，充分发挥粮食主渠道作用，平抑粮价，确保粮食市场稳定；贯彻执行国家粮油质量标准，粮油检测制度和办法，实施粮食财务会计制度，汇编财务报表，指导、监督基层单位财会工作，编制统计报表；负责搞好直属基层单位干部职工的思想工作和业务培训工作，搞好物质文明和精神文明建设；承办麻章区政府和市粮食局交办的其他事项。分局内设办公室</w:t>
      </w:r>
      <w:r>
        <w:rPr>
          <w:rFonts w:hint="eastAsia" w:ascii="宋体" w:hAnsi="宋体" w:cs="宋体"/>
          <w:color w:val="auto"/>
          <w:sz w:val="32"/>
          <w:szCs w:val="32"/>
        </w:rPr>
        <w:t>﹑</w:t>
      </w:r>
      <w:r>
        <w:rPr>
          <w:rFonts w:hint="eastAsia" w:ascii="仿宋_GB2312" w:hAnsi="仿宋_GB2312" w:eastAsia="仿宋_GB2312" w:cs="仿宋_GB2312"/>
          <w:color w:val="auto"/>
          <w:sz w:val="32"/>
          <w:szCs w:val="32"/>
        </w:rPr>
        <w:t>人保股</w:t>
      </w:r>
      <w:r>
        <w:rPr>
          <w:rFonts w:hint="eastAsia" w:ascii="宋体" w:hAnsi="宋体" w:cs="宋体"/>
          <w:color w:val="auto"/>
          <w:sz w:val="32"/>
          <w:szCs w:val="32"/>
        </w:rPr>
        <w:t>﹑</w:t>
      </w:r>
      <w:r>
        <w:rPr>
          <w:rFonts w:hint="eastAsia" w:ascii="仿宋_GB2312" w:hAnsi="仿宋_GB2312" w:eastAsia="仿宋_GB2312" w:cs="仿宋_GB2312"/>
          <w:color w:val="auto"/>
          <w:sz w:val="32"/>
          <w:szCs w:val="32"/>
        </w:rPr>
        <w:t>业务股</w:t>
      </w:r>
      <w:r>
        <w:rPr>
          <w:rFonts w:ascii="仿宋_GB2312" w:eastAsia="仿宋_GB2312"/>
          <w:color w:val="auto"/>
          <w:sz w:val="32"/>
          <w:szCs w:val="32"/>
        </w:rPr>
        <w:t>3</w:t>
      </w:r>
      <w:r>
        <w:rPr>
          <w:rFonts w:hint="eastAsia" w:ascii="仿宋_GB2312" w:eastAsia="仿宋_GB2312"/>
          <w:color w:val="auto"/>
          <w:sz w:val="32"/>
          <w:szCs w:val="32"/>
        </w:rPr>
        <w:t>个股（室）。</w:t>
      </w:r>
    </w:p>
    <w:p>
      <w:pPr>
        <w:numPr>
          <w:ilvl w:val="0"/>
          <w:numId w:val="1"/>
        </w:numPr>
        <w:rPr>
          <w:rFonts w:ascii="仿宋_GB2312" w:eastAsia="仿宋_GB2312"/>
          <w:b/>
          <w:color w:val="auto"/>
          <w:sz w:val="32"/>
          <w:szCs w:val="32"/>
        </w:rPr>
      </w:pPr>
      <w:r>
        <w:rPr>
          <w:rFonts w:hint="eastAsia" w:ascii="仿宋_GB2312" w:eastAsia="仿宋_GB2312"/>
          <w:b/>
          <w:color w:val="auto"/>
          <w:sz w:val="32"/>
          <w:szCs w:val="32"/>
        </w:rPr>
        <w:t>人员构成情况</w:t>
      </w:r>
    </w:p>
    <w:p>
      <w:pPr>
        <w:rPr>
          <w:rFonts w:ascii="仿宋_GB2312" w:eastAsia="仿宋_GB2312"/>
          <w:color w:val="auto"/>
          <w:sz w:val="32"/>
          <w:szCs w:val="32"/>
        </w:rPr>
      </w:pPr>
      <w:r>
        <w:rPr>
          <w:rFonts w:ascii="仿宋_GB2312" w:eastAsia="仿宋_GB2312"/>
          <w:color w:val="auto"/>
          <w:sz w:val="32"/>
          <w:szCs w:val="32"/>
        </w:rPr>
        <w:t xml:space="preserve">    </w:t>
      </w:r>
      <w:r>
        <w:rPr>
          <w:rFonts w:hint="eastAsia" w:ascii="仿宋_GB2312" w:eastAsia="仿宋_GB2312"/>
          <w:color w:val="auto"/>
          <w:sz w:val="32"/>
          <w:szCs w:val="32"/>
        </w:rPr>
        <w:t>单位编制数</w:t>
      </w:r>
      <w:r>
        <w:rPr>
          <w:rFonts w:ascii="仿宋_GB2312" w:eastAsia="仿宋_GB2312"/>
          <w:color w:val="auto"/>
          <w:sz w:val="32"/>
          <w:szCs w:val="32"/>
        </w:rPr>
        <w:t>9</w:t>
      </w:r>
      <w:r>
        <w:rPr>
          <w:rFonts w:hint="eastAsia" w:ascii="仿宋_GB2312" w:eastAsia="仿宋_GB2312"/>
          <w:color w:val="auto"/>
          <w:sz w:val="32"/>
          <w:szCs w:val="32"/>
        </w:rPr>
        <w:t>人，单位实有在职人员</w:t>
      </w:r>
      <w:r>
        <w:rPr>
          <w:rFonts w:ascii="仿宋_GB2312" w:eastAsia="仿宋_GB2312"/>
          <w:color w:val="auto"/>
          <w:sz w:val="32"/>
          <w:szCs w:val="32"/>
        </w:rPr>
        <w:t>8</w:t>
      </w:r>
      <w:r>
        <w:rPr>
          <w:rFonts w:hint="eastAsia" w:ascii="仿宋_GB2312" w:eastAsia="仿宋_GB2312"/>
          <w:color w:val="auto"/>
          <w:sz w:val="32"/>
          <w:szCs w:val="32"/>
        </w:rPr>
        <w:t>人，离岗退养人员</w:t>
      </w:r>
      <w:r>
        <w:rPr>
          <w:rFonts w:ascii="仿宋_GB2312" w:eastAsia="仿宋_GB2312"/>
          <w:color w:val="auto"/>
          <w:sz w:val="32"/>
          <w:szCs w:val="32"/>
        </w:rPr>
        <w:t>1</w:t>
      </w:r>
      <w:r>
        <w:rPr>
          <w:rFonts w:hint="eastAsia" w:ascii="仿宋_GB2312" w:eastAsia="仿宋_GB2312"/>
          <w:color w:val="auto"/>
          <w:sz w:val="32"/>
          <w:szCs w:val="32"/>
        </w:rPr>
        <w:t>人，离退休人员</w:t>
      </w:r>
      <w:r>
        <w:rPr>
          <w:rFonts w:ascii="仿宋_GB2312" w:eastAsia="仿宋_GB2312"/>
          <w:color w:val="auto"/>
          <w:sz w:val="32"/>
          <w:szCs w:val="32"/>
        </w:rPr>
        <w:t>30</w:t>
      </w:r>
      <w:r>
        <w:rPr>
          <w:rFonts w:hint="eastAsia" w:ascii="仿宋_GB2312" w:eastAsia="仿宋_GB2312"/>
          <w:color w:val="auto"/>
          <w:sz w:val="32"/>
          <w:szCs w:val="32"/>
        </w:rPr>
        <w:t>人（其中离休</w:t>
      </w:r>
      <w:r>
        <w:rPr>
          <w:rFonts w:ascii="仿宋_GB2312" w:eastAsia="仿宋_GB2312"/>
          <w:color w:val="auto"/>
          <w:sz w:val="32"/>
          <w:szCs w:val="32"/>
        </w:rPr>
        <w:t>1</w:t>
      </w:r>
      <w:r>
        <w:rPr>
          <w:rFonts w:hint="eastAsia" w:ascii="仿宋_GB2312" w:eastAsia="仿宋_GB2312"/>
          <w:color w:val="auto"/>
          <w:sz w:val="32"/>
          <w:szCs w:val="32"/>
        </w:rPr>
        <w:t>人），均为财政全额供养人员。</w:t>
      </w:r>
    </w:p>
    <w:p>
      <w:pPr>
        <w:rPr>
          <w:rFonts w:ascii="仿宋_GB2312" w:eastAsia="仿宋_GB2312"/>
          <w:sz w:val="32"/>
          <w:szCs w:val="32"/>
        </w:rPr>
      </w:pPr>
    </w:p>
    <w:p>
      <w:pPr>
        <w:spacing w:line="620" w:lineRule="exact"/>
        <w:ind w:firstLine="600"/>
        <w:rPr>
          <w:rFonts w:ascii="仿宋" w:hAnsi="仿宋" w:eastAsia="仿宋"/>
          <w:b/>
          <w:color w:val="auto"/>
          <w:sz w:val="32"/>
          <w:szCs w:val="32"/>
        </w:rPr>
      </w:pPr>
      <w:r>
        <w:rPr>
          <w:rFonts w:hint="eastAsia" w:ascii="仿宋" w:hAnsi="仿宋" w:eastAsia="仿宋"/>
          <w:b/>
          <w:color w:val="auto"/>
          <w:sz w:val="32"/>
          <w:szCs w:val="32"/>
        </w:rPr>
        <w:t>（三）预算年度的主要工作任务</w:t>
      </w:r>
    </w:p>
    <w:p>
      <w:pPr>
        <w:spacing w:line="620" w:lineRule="exact"/>
        <w:ind w:firstLine="600"/>
        <w:rPr>
          <w:rFonts w:ascii="仿宋" w:hAnsi="仿宋" w:eastAsia="仿宋"/>
          <w:color w:val="auto"/>
          <w:sz w:val="32"/>
          <w:szCs w:val="32"/>
        </w:rPr>
      </w:pPr>
      <w:r>
        <w:rPr>
          <w:rFonts w:hint="eastAsia" w:ascii="仿宋" w:hAnsi="仿宋" w:eastAsia="仿宋"/>
          <w:color w:val="auto"/>
          <w:sz w:val="32"/>
          <w:szCs w:val="32"/>
        </w:rPr>
        <w:t>完成职能内工作以及市粮食局和麻章区委、区政府交办的工作，重点落实储备粮收储管理和驻军部门军供粮油、应急粮油管理工作，稳定辖区内粮油市场价格波动，确保辖区内粮食安全。</w:t>
      </w:r>
    </w:p>
    <w:p>
      <w:pPr>
        <w:spacing w:line="620" w:lineRule="exact"/>
        <w:ind w:firstLine="600"/>
        <w:rPr>
          <w:rFonts w:ascii="仿宋" w:hAnsi="仿宋" w:eastAsia="仿宋"/>
          <w:b/>
          <w:color w:val="auto"/>
          <w:sz w:val="32"/>
          <w:szCs w:val="32"/>
        </w:rPr>
      </w:pPr>
      <w:r>
        <w:rPr>
          <w:rFonts w:hint="eastAsia" w:ascii="仿宋" w:hAnsi="仿宋" w:eastAsia="仿宋"/>
          <w:b/>
          <w:color w:val="auto"/>
          <w:sz w:val="32"/>
          <w:szCs w:val="32"/>
        </w:rPr>
        <w:t>二、收入预算说明</w:t>
      </w:r>
    </w:p>
    <w:p>
      <w:pPr>
        <w:spacing w:line="620" w:lineRule="exact"/>
        <w:ind w:firstLine="6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年收入预算</w:t>
      </w:r>
      <w:r>
        <w:rPr>
          <w:rFonts w:ascii="仿宋" w:hAnsi="仿宋" w:eastAsia="仿宋"/>
          <w:color w:val="auto"/>
          <w:sz w:val="32"/>
          <w:szCs w:val="32"/>
        </w:rPr>
        <w:t>367.85</w:t>
      </w:r>
      <w:r>
        <w:rPr>
          <w:rFonts w:hint="eastAsia" w:ascii="仿宋" w:hAnsi="仿宋" w:eastAsia="仿宋"/>
          <w:color w:val="auto"/>
          <w:sz w:val="32"/>
          <w:szCs w:val="32"/>
        </w:rPr>
        <w:t>万元，比上年增加</w:t>
      </w:r>
      <w:r>
        <w:rPr>
          <w:rFonts w:hint="eastAsia" w:ascii="仿宋" w:hAnsi="仿宋" w:eastAsia="仿宋"/>
          <w:color w:val="auto"/>
          <w:sz w:val="32"/>
          <w:szCs w:val="32"/>
          <w:lang w:val="en-US" w:eastAsia="zh-CN"/>
        </w:rPr>
        <w:t>17.89</w:t>
      </w:r>
      <w:r>
        <w:rPr>
          <w:rFonts w:hint="eastAsia" w:ascii="仿宋" w:hAnsi="仿宋" w:eastAsia="仿宋"/>
          <w:color w:val="auto"/>
          <w:sz w:val="32"/>
          <w:szCs w:val="32"/>
        </w:rPr>
        <w:t>万元，增长了</w:t>
      </w:r>
      <w:r>
        <w:rPr>
          <w:rFonts w:hint="eastAsia" w:ascii="仿宋" w:hAnsi="仿宋" w:eastAsia="仿宋"/>
          <w:color w:val="auto"/>
          <w:sz w:val="32"/>
          <w:szCs w:val="32"/>
          <w:lang w:val="en-US" w:eastAsia="zh-CN"/>
        </w:rPr>
        <w:t>5.11</w:t>
      </w:r>
      <w:r>
        <w:rPr>
          <w:rFonts w:ascii="仿宋" w:hAnsi="仿宋" w:eastAsia="仿宋"/>
          <w:color w:val="auto"/>
          <w:sz w:val="32"/>
          <w:szCs w:val="32"/>
        </w:rPr>
        <w:t>%</w:t>
      </w:r>
      <w:r>
        <w:rPr>
          <w:rFonts w:hint="eastAsia" w:ascii="仿宋" w:hAnsi="仿宋" w:eastAsia="仿宋"/>
          <w:color w:val="auto"/>
          <w:sz w:val="32"/>
          <w:szCs w:val="32"/>
        </w:rPr>
        <w:t>。增长主要原因是人员工资及其他补贴增加。</w:t>
      </w:r>
    </w:p>
    <w:p>
      <w:pPr>
        <w:spacing w:line="620" w:lineRule="exact"/>
        <w:ind w:left="720"/>
        <w:rPr>
          <w:rFonts w:ascii="仿宋" w:hAnsi="仿宋" w:eastAsia="仿宋"/>
          <w:b/>
          <w:color w:val="auto"/>
          <w:sz w:val="32"/>
          <w:szCs w:val="32"/>
        </w:rPr>
      </w:pPr>
      <w:r>
        <w:rPr>
          <w:rFonts w:hint="eastAsia" w:ascii="仿宋" w:hAnsi="仿宋" w:eastAsia="仿宋"/>
          <w:b/>
          <w:color w:val="auto"/>
          <w:sz w:val="32"/>
          <w:szCs w:val="32"/>
        </w:rPr>
        <w:t>三、支出预算说明</w:t>
      </w:r>
    </w:p>
    <w:p>
      <w:pPr>
        <w:spacing w:line="620" w:lineRule="exact"/>
        <w:ind w:firstLine="640" w:firstLineChars="2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年支出预算</w:t>
      </w:r>
      <w:r>
        <w:rPr>
          <w:rFonts w:ascii="仿宋" w:hAnsi="仿宋" w:eastAsia="仿宋"/>
          <w:color w:val="auto"/>
          <w:sz w:val="32"/>
          <w:szCs w:val="32"/>
        </w:rPr>
        <w:t>367.85</w:t>
      </w:r>
      <w:r>
        <w:rPr>
          <w:rFonts w:hint="eastAsia" w:ascii="仿宋" w:hAnsi="仿宋" w:eastAsia="仿宋"/>
          <w:color w:val="auto"/>
          <w:sz w:val="32"/>
          <w:szCs w:val="32"/>
        </w:rPr>
        <w:t>万元，比上年增加</w:t>
      </w:r>
      <w:r>
        <w:rPr>
          <w:rFonts w:hint="eastAsia" w:ascii="仿宋" w:hAnsi="仿宋" w:eastAsia="仿宋"/>
          <w:color w:val="auto"/>
          <w:sz w:val="32"/>
          <w:szCs w:val="32"/>
          <w:lang w:val="en-US" w:eastAsia="zh-CN"/>
        </w:rPr>
        <w:t>17.89</w:t>
      </w:r>
      <w:r>
        <w:rPr>
          <w:rFonts w:hint="eastAsia" w:ascii="仿宋" w:hAnsi="仿宋" w:eastAsia="仿宋"/>
          <w:color w:val="auto"/>
          <w:sz w:val="32"/>
          <w:szCs w:val="32"/>
        </w:rPr>
        <w:t>万元，增长了</w:t>
      </w:r>
      <w:r>
        <w:rPr>
          <w:rFonts w:hint="eastAsia" w:ascii="仿宋" w:hAnsi="仿宋" w:eastAsia="仿宋"/>
          <w:color w:val="auto"/>
          <w:sz w:val="32"/>
          <w:szCs w:val="32"/>
          <w:lang w:val="en-US" w:eastAsia="zh-CN"/>
        </w:rPr>
        <w:t>5.11</w:t>
      </w:r>
      <w:r>
        <w:rPr>
          <w:rFonts w:ascii="仿宋" w:hAnsi="仿宋" w:eastAsia="仿宋"/>
          <w:color w:val="auto"/>
          <w:sz w:val="32"/>
          <w:szCs w:val="32"/>
        </w:rPr>
        <w:t>%</w:t>
      </w:r>
      <w:r>
        <w:rPr>
          <w:rFonts w:hint="eastAsia" w:ascii="仿宋" w:hAnsi="仿宋" w:eastAsia="仿宋"/>
          <w:color w:val="auto"/>
          <w:sz w:val="32"/>
          <w:szCs w:val="32"/>
        </w:rPr>
        <w:t>。全部是基本支出，预算金额为</w:t>
      </w:r>
      <w:r>
        <w:rPr>
          <w:rFonts w:ascii="仿宋" w:hAnsi="仿宋" w:eastAsia="仿宋"/>
          <w:color w:val="auto"/>
          <w:sz w:val="32"/>
          <w:szCs w:val="32"/>
        </w:rPr>
        <w:t>367.85</w:t>
      </w:r>
      <w:r>
        <w:rPr>
          <w:rFonts w:hint="eastAsia" w:ascii="仿宋" w:hAnsi="仿宋" w:eastAsia="仿宋"/>
          <w:color w:val="auto"/>
          <w:sz w:val="32"/>
          <w:szCs w:val="32"/>
        </w:rPr>
        <w:t>万元，占</w:t>
      </w:r>
      <w:r>
        <w:rPr>
          <w:rFonts w:ascii="仿宋" w:hAnsi="仿宋" w:eastAsia="仿宋"/>
          <w:color w:val="auto"/>
          <w:sz w:val="32"/>
          <w:szCs w:val="32"/>
        </w:rPr>
        <w:t>100%</w:t>
      </w:r>
      <w:r>
        <w:rPr>
          <w:rFonts w:hint="eastAsia" w:ascii="仿宋" w:hAnsi="仿宋" w:eastAsia="仿宋"/>
          <w:color w:val="auto"/>
          <w:sz w:val="32"/>
          <w:szCs w:val="32"/>
        </w:rPr>
        <w:t>，比上年增加</w:t>
      </w:r>
      <w:r>
        <w:rPr>
          <w:rFonts w:hint="eastAsia" w:ascii="仿宋" w:hAnsi="仿宋" w:eastAsia="仿宋"/>
          <w:color w:val="auto"/>
          <w:sz w:val="32"/>
          <w:szCs w:val="32"/>
          <w:lang w:val="en-US" w:eastAsia="zh-CN"/>
        </w:rPr>
        <w:t>17.89</w:t>
      </w:r>
      <w:r>
        <w:rPr>
          <w:rFonts w:hint="eastAsia" w:ascii="仿宋" w:hAnsi="仿宋" w:eastAsia="仿宋"/>
          <w:color w:val="auto"/>
          <w:sz w:val="32"/>
          <w:szCs w:val="32"/>
        </w:rPr>
        <w:t>万元，增长主要原因是人员工资及其他补贴增加。</w:t>
      </w:r>
    </w:p>
    <w:p>
      <w:pPr>
        <w:spacing w:line="620" w:lineRule="exact"/>
        <w:ind w:firstLine="640" w:firstLineChars="2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年支出按政府经济分类划分：机关工资福利支出</w:t>
      </w:r>
      <w:r>
        <w:rPr>
          <w:rFonts w:ascii="仿宋" w:hAnsi="仿宋" w:eastAsia="仿宋"/>
          <w:color w:val="auto"/>
          <w:sz w:val="32"/>
          <w:szCs w:val="32"/>
        </w:rPr>
        <w:t>146.38</w:t>
      </w:r>
      <w:r>
        <w:rPr>
          <w:rFonts w:hint="eastAsia" w:ascii="仿宋" w:hAnsi="仿宋" w:eastAsia="仿宋"/>
          <w:color w:val="auto"/>
          <w:sz w:val="32"/>
          <w:szCs w:val="32"/>
        </w:rPr>
        <w:t>万元，机关商品和服务支出</w:t>
      </w:r>
      <w:r>
        <w:rPr>
          <w:rFonts w:ascii="仿宋" w:hAnsi="仿宋" w:eastAsia="仿宋"/>
          <w:color w:val="auto"/>
          <w:sz w:val="32"/>
          <w:szCs w:val="32"/>
        </w:rPr>
        <w:t>14.28</w:t>
      </w:r>
      <w:r>
        <w:rPr>
          <w:rFonts w:hint="eastAsia" w:ascii="仿宋" w:hAnsi="仿宋" w:eastAsia="仿宋"/>
          <w:color w:val="auto"/>
          <w:sz w:val="32"/>
          <w:szCs w:val="32"/>
        </w:rPr>
        <w:t>万元，对个人和家庭的补助</w:t>
      </w:r>
      <w:r>
        <w:rPr>
          <w:rFonts w:ascii="仿宋" w:hAnsi="仿宋" w:eastAsia="仿宋"/>
          <w:color w:val="auto"/>
          <w:sz w:val="32"/>
          <w:szCs w:val="32"/>
        </w:rPr>
        <w:t>207.19</w:t>
      </w:r>
      <w:r>
        <w:rPr>
          <w:rFonts w:hint="eastAsia" w:ascii="仿宋" w:hAnsi="仿宋" w:eastAsia="仿宋"/>
          <w:color w:val="auto"/>
          <w:sz w:val="32"/>
          <w:szCs w:val="32"/>
        </w:rPr>
        <w:t>万元；按照部门经济分类划分：基本支出预算</w:t>
      </w:r>
      <w:r>
        <w:rPr>
          <w:rFonts w:ascii="仿宋" w:hAnsi="仿宋" w:eastAsia="仿宋"/>
          <w:color w:val="auto"/>
          <w:sz w:val="32"/>
          <w:szCs w:val="32"/>
        </w:rPr>
        <w:t>367.85</w:t>
      </w:r>
      <w:r>
        <w:rPr>
          <w:rFonts w:hint="eastAsia" w:ascii="仿宋" w:hAnsi="仿宋" w:eastAsia="仿宋"/>
          <w:color w:val="auto"/>
          <w:sz w:val="32"/>
          <w:szCs w:val="32"/>
        </w:rPr>
        <w:t>万元，占</w:t>
      </w:r>
      <w:r>
        <w:rPr>
          <w:rFonts w:ascii="仿宋" w:hAnsi="仿宋" w:eastAsia="仿宋"/>
          <w:color w:val="auto"/>
          <w:sz w:val="32"/>
          <w:szCs w:val="32"/>
        </w:rPr>
        <w:t>100%</w:t>
      </w:r>
      <w:r>
        <w:rPr>
          <w:rFonts w:hint="eastAsia" w:ascii="仿宋" w:hAnsi="仿宋" w:eastAsia="仿宋"/>
          <w:color w:val="auto"/>
          <w:sz w:val="32"/>
          <w:szCs w:val="32"/>
        </w:rPr>
        <w:t>。其中：工资福利支出</w:t>
      </w:r>
      <w:r>
        <w:rPr>
          <w:rFonts w:ascii="仿宋" w:hAnsi="仿宋" w:eastAsia="仿宋"/>
          <w:color w:val="auto"/>
          <w:sz w:val="32"/>
          <w:szCs w:val="32"/>
        </w:rPr>
        <w:t>146.38</w:t>
      </w:r>
      <w:r>
        <w:rPr>
          <w:rFonts w:hint="eastAsia" w:ascii="仿宋" w:hAnsi="仿宋" w:eastAsia="仿宋"/>
          <w:color w:val="auto"/>
          <w:sz w:val="32"/>
          <w:szCs w:val="32"/>
        </w:rPr>
        <w:t>万元（比上年增加</w:t>
      </w:r>
      <w:r>
        <w:rPr>
          <w:rFonts w:ascii="仿宋" w:hAnsi="仿宋" w:eastAsia="仿宋"/>
          <w:color w:val="auto"/>
          <w:sz w:val="32"/>
          <w:szCs w:val="32"/>
        </w:rPr>
        <w:t>53.27</w:t>
      </w:r>
      <w:r>
        <w:rPr>
          <w:rFonts w:hint="eastAsia" w:ascii="仿宋" w:hAnsi="仿宋" w:eastAsia="仿宋"/>
          <w:color w:val="auto"/>
          <w:sz w:val="32"/>
          <w:szCs w:val="32"/>
        </w:rPr>
        <w:t>万元），对个人和家庭的补助</w:t>
      </w:r>
      <w:r>
        <w:rPr>
          <w:rFonts w:ascii="仿宋" w:hAnsi="仿宋" w:eastAsia="仿宋"/>
          <w:color w:val="auto"/>
          <w:sz w:val="32"/>
          <w:szCs w:val="32"/>
        </w:rPr>
        <w:t>207.19</w:t>
      </w:r>
      <w:r>
        <w:rPr>
          <w:rFonts w:hint="eastAsia" w:ascii="仿宋" w:hAnsi="仿宋" w:eastAsia="仿宋"/>
          <w:color w:val="auto"/>
          <w:sz w:val="32"/>
          <w:szCs w:val="32"/>
        </w:rPr>
        <w:t>万元（比上年</w:t>
      </w:r>
      <w:r>
        <w:rPr>
          <w:rFonts w:hint="eastAsia" w:ascii="仿宋" w:hAnsi="仿宋" w:eastAsia="仿宋"/>
          <w:color w:val="auto"/>
          <w:sz w:val="32"/>
          <w:szCs w:val="32"/>
          <w:lang w:eastAsia="zh-CN"/>
        </w:rPr>
        <w:t>减少</w:t>
      </w:r>
      <w:r>
        <w:rPr>
          <w:rFonts w:hint="eastAsia" w:ascii="仿宋" w:hAnsi="仿宋" w:eastAsia="仿宋"/>
          <w:color w:val="auto"/>
          <w:sz w:val="32"/>
          <w:szCs w:val="32"/>
          <w:lang w:val="en-US" w:eastAsia="zh-CN"/>
        </w:rPr>
        <w:t>35.44</w:t>
      </w:r>
      <w:r>
        <w:rPr>
          <w:rFonts w:hint="eastAsia" w:ascii="仿宋" w:hAnsi="仿宋" w:eastAsia="仿宋"/>
          <w:color w:val="auto"/>
          <w:sz w:val="32"/>
          <w:szCs w:val="32"/>
        </w:rPr>
        <w:t>万元），商品和服务支出</w:t>
      </w:r>
      <w:r>
        <w:rPr>
          <w:rFonts w:ascii="仿宋" w:hAnsi="仿宋" w:eastAsia="仿宋"/>
          <w:color w:val="auto"/>
          <w:sz w:val="32"/>
          <w:szCs w:val="32"/>
        </w:rPr>
        <w:t>14.28</w:t>
      </w:r>
      <w:r>
        <w:rPr>
          <w:rFonts w:hint="eastAsia" w:ascii="仿宋" w:hAnsi="仿宋" w:eastAsia="仿宋"/>
          <w:color w:val="auto"/>
          <w:sz w:val="32"/>
          <w:szCs w:val="32"/>
        </w:rPr>
        <w:t>万元（比上年增加</w:t>
      </w:r>
      <w:r>
        <w:rPr>
          <w:rFonts w:ascii="仿宋" w:hAnsi="仿宋" w:eastAsia="仿宋"/>
          <w:color w:val="auto"/>
          <w:sz w:val="32"/>
          <w:szCs w:val="32"/>
        </w:rPr>
        <w:t>0.06</w:t>
      </w:r>
      <w:r>
        <w:rPr>
          <w:rFonts w:hint="eastAsia" w:ascii="仿宋" w:hAnsi="仿宋" w:eastAsia="仿宋"/>
          <w:color w:val="auto"/>
          <w:sz w:val="32"/>
          <w:szCs w:val="32"/>
        </w:rPr>
        <w:t>万元）。</w:t>
      </w:r>
    </w:p>
    <w:p>
      <w:pPr>
        <w:numPr>
          <w:ilvl w:val="0"/>
          <w:numId w:val="2"/>
        </w:numPr>
        <w:ind w:firstLine="643" w:firstLineChars="200"/>
        <w:rPr>
          <w:rFonts w:ascii="仿宋" w:hAnsi="仿宋" w:eastAsia="仿宋"/>
          <w:b/>
          <w:bCs/>
          <w:color w:val="auto"/>
          <w:sz w:val="32"/>
          <w:szCs w:val="32"/>
        </w:rPr>
      </w:pPr>
      <w:r>
        <w:rPr>
          <w:rFonts w:hint="eastAsia" w:ascii="仿宋" w:hAnsi="仿宋" w:eastAsia="仿宋"/>
          <w:b/>
          <w:bCs/>
          <w:color w:val="auto"/>
          <w:sz w:val="32"/>
          <w:szCs w:val="32"/>
        </w:rPr>
        <w:t>“三公”经费说明</w:t>
      </w:r>
    </w:p>
    <w:p>
      <w:pPr>
        <w:ind w:firstLine="640" w:firstLineChars="2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年，一般公共预算拨款“三公”经费支出合计</w:t>
      </w:r>
      <w:r>
        <w:rPr>
          <w:rFonts w:ascii="仿宋" w:hAnsi="仿宋" w:eastAsia="仿宋"/>
          <w:color w:val="auto"/>
          <w:sz w:val="32"/>
          <w:szCs w:val="32"/>
        </w:rPr>
        <w:t>0.40</w:t>
      </w:r>
      <w:r>
        <w:rPr>
          <w:rFonts w:hint="eastAsia" w:ascii="仿宋" w:hAnsi="仿宋" w:eastAsia="仿宋"/>
          <w:color w:val="auto"/>
          <w:sz w:val="32"/>
          <w:szCs w:val="32"/>
        </w:rPr>
        <w:t>万元，比上年减少了</w:t>
      </w:r>
      <w:r>
        <w:rPr>
          <w:rFonts w:ascii="仿宋" w:hAnsi="仿宋" w:eastAsia="仿宋"/>
          <w:color w:val="auto"/>
          <w:sz w:val="32"/>
          <w:szCs w:val="32"/>
        </w:rPr>
        <w:t>0.05</w:t>
      </w:r>
      <w:r>
        <w:rPr>
          <w:rFonts w:hint="eastAsia" w:ascii="仿宋" w:hAnsi="仿宋" w:eastAsia="仿宋"/>
          <w:color w:val="auto"/>
          <w:sz w:val="32"/>
          <w:szCs w:val="32"/>
        </w:rPr>
        <w:t>万元</w:t>
      </w:r>
      <w:r>
        <w:rPr>
          <w:rFonts w:hint="eastAsia" w:ascii="仿宋" w:hAnsi="仿宋" w:eastAsia="仿宋" w:cs="仿宋"/>
          <w:sz w:val="32"/>
          <w:szCs w:val="32"/>
          <w:lang w:eastAsia="zh-CN"/>
        </w:rPr>
        <w:t>，</w:t>
      </w:r>
      <w:r>
        <w:rPr>
          <w:rFonts w:hint="eastAsia" w:ascii="仿宋" w:hAnsi="仿宋" w:eastAsia="仿宋" w:cs="仿宋"/>
          <w:b w:val="0"/>
          <w:i w:val="0"/>
          <w:caps w:val="0"/>
          <w:color w:val="484848"/>
          <w:spacing w:val="0"/>
          <w:sz w:val="32"/>
          <w:szCs w:val="32"/>
          <w:shd w:val="clear" w:fill="FFFFFF"/>
        </w:rPr>
        <w:t>主要原因是严格执行中央“八项规定”，严控公务接待开支，公务接待活动减少</w:t>
      </w:r>
      <w:r>
        <w:rPr>
          <w:rFonts w:hint="eastAsia" w:ascii="仿宋" w:hAnsi="仿宋" w:eastAsia="仿宋"/>
          <w:color w:val="auto"/>
          <w:sz w:val="32"/>
          <w:szCs w:val="32"/>
        </w:rPr>
        <w:t>。其中：公务接待费</w:t>
      </w:r>
      <w:r>
        <w:rPr>
          <w:rFonts w:ascii="仿宋" w:hAnsi="仿宋" w:eastAsia="仿宋"/>
          <w:color w:val="auto"/>
          <w:sz w:val="32"/>
          <w:szCs w:val="32"/>
        </w:rPr>
        <w:t>0.40</w:t>
      </w:r>
      <w:r>
        <w:rPr>
          <w:rFonts w:hint="eastAsia" w:ascii="仿宋" w:hAnsi="仿宋" w:eastAsia="仿宋"/>
          <w:color w:val="auto"/>
          <w:sz w:val="32"/>
          <w:szCs w:val="32"/>
        </w:rPr>
        <w:t>万元，占</w:t>
      </w:r>
      <w:r>
        <w:rPr>
          <w:rFonts w:ascii="仿宋" w:hAnsi="仿宋" w:eastAsia="仿宋"/>
          <w:color w:val="auto"/>
          <w:sz w:val="32"/>
          <w:szCs w:val="32"/>
        </w:rPr>
        <w:t>100%</w:t>
      </w:r>
      <w:r>
        <w:rPr>
          <w:rFonts w:hint="eastAsia" w:ascii="仿宋" w:hAnsi="仿宋" w:eastAsia="仿宋"/>
          <w:color w:val="auto"/>
          <w:sz w:val="32"/>
          <w:szCs w:val="32"/>
        </w:rPr>
        <w:t>，没有因公出国和公务用车购置及运行费用。</w:t>
      </w:r>
    </w:p>
    <w:p>
      <w:pPr>
        <w:numPr>
          <w:ilvl w:val="0"/>
          <w:numId w:val="2"/>
        </w:numPr>
        <w:ind w:firstLine="643" w:firstLineChars="200"/>
        <w:rPr>
          <w:rFonts w:ascii="仿宋" w:hAnsi="仿宋" w:eastAsia="仿宋"/>
          <w:b/>
          <w:color w:val="auto"/>
          <w:sz w:val="32"/>
          <w:szCs w:val="32"/>
        </w:rPr>
      </w:pPr>
      <w:r>
        <w:rPr>
          <w:rFonts w:hint="eastAsia" w:ascii="仿宋" w:hAnsi="仿宋" w:eastAsia="仿宋"/>
          <w:b/>
          <w:color w:val="auto"/>
          <w:sz w:val="32"/>
          <w:szCs w:val="32"/>
          <w:lang w:eastAsia="zh-CN"/>
        </w:rPr>
        <w:t>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ascii="仿宋" w:hAnsi="仿宋" w:eastAsia="仿宋"/>
          <w:b/>
          <w:color w:val="auto"/>
          <w:sz w:val="32"/>
          <w:szCs w:val="32"/>
        </w:rPr>
      </w:pPr>
      <w:r>
        <w:rPr>
          <w:rFonts w:hint="eastAsia" w:ascii="仿宋" w:hAnsi="仿宋" w:eastAsia="仿宋"/>
          <w:b/>
          <w:color w:val="auto"/>
          <w:sz w:val="32"/>
          <w:szCs w:val="32"/>
          <w:lang w:eastAsia="zh-CN"/>
        </w:rPr>
        <w:t>（一）</w:t>
      </w:r>
      <w:r>
        <w:rPr>
          <w:rFonts w:hint="eastAsia" w:ascii="仿宋" w:hAnsi="仿宋" w:eastAsia="仿宋"/>
          <w:b/>
          <w:color w:val="auto"/>
          <w:sz w:val="32"/>
          <w:szCs w:val="32"/>
        </w:rPr>
        <w:t>机关运行经费安排情况说明</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一般公共预算</w:t>
      </w:r>
      <w:r>
        <w:rPr>
          <w:rFonts w:ascii="仿宋" w:hAnsi="仿宋" w:eastAsia="仿宋"/>
          <w:color w:val="auto"/>
          <w:sz w:val="32"/>
          <w:szCs w:val="32"/>
        </w:rPr>
        <w:t>14.28</w:t>
      </w:r>
      <w:r>
        <w:rPr>
          <w:rFonts w:hint="eastAsia" w:ascii="仿宋" w:hAnsi="仿宋" w:eastAsia="仿宋"/>
          <w:color w:val="auto"/>
          <w:sz w:val="32"/>
          <w:szCs w:val="32"/>
        </w:rPr>
        <w:t>万元，包括办公费</w:t>
      </w:r>
      <w:r>
        <w:rPr>
          <w:rFonts w:ascii="仿宋" w:hAnsi="仿宋" w:eastAsia="仿宋"/>
          <w:color w:val="auto"/>
          <w:sz w:val="32"/>
          <w:szCs w:val="32"/>
        </w:rPr>
        <w:t>2</w:t>
      </w:r>
      <w:r>
        <w:rPr>
          <w:rFonts w:hint="eastAsia" w:ascii="仿宋" w:hAnsi="仿宋" w:eastAsia="仿宋"/>
          <w:color w:val="auto"/>
          <w:sz w:val="32"/>
          <w:szCs w:val="32"/>
        </w:rPr>
        <w:t>万元，印刷费</w:t>
      </w:r>
      <w:r>
        <w:rPr>
          <w:rFonts w:ascii="仿宋" w:hAnsi="仿宋" w:eastAsia="仿宋"/>
          <w:color w:val="auto"/>
          <w:sz w:val="32"/>
          <w:szCs w:val="32"/>
        </w:rPr>
        <w:t>0.58</w:t>
      </w:r>
      <w:r>
        <w:rPr>
          <w:rFonts w:hint="eastAsia" w:ascii="仿宋" w:hAnsi="仿宋" w:eastAsia="仿宋"/>
          <w:color w:val="auto"/>
          <w:sz w:val="32"/>
          <w:szCs w:val="32"/>
        </w:rPr>
        <w:t>万元，咨询费</w:t>
      </w:r>
      <w:r>
        <w:rPr>
          <w:rFonts w:ascii="仿宋" w:hAnsi="仿宋" w:eastAsia="仿宋"/>
          <w:color w:val="auto"/>
          <w:sz w:val="32"/>
          <w:szCs w:val="32"/>
        </w:rPr>
        <w:t>0.60</w:t>
      </w:r>
      <w:r>
        <w:rPr>
          <w:rFonts w:hint="eastAsia" w:ascii="仿宋" w:hAnsi="仿宋" w:eastAsia="仿宋"/>
          <w:color w:val="auto"/>
          <w:sz w:val="32"/>
          <w:szCs w:val="32"/>
        </w:rPr>
        <w:t>万元，手续费</w:t>
      </w:r>
      <w:r>
        <w:rPr>
          <w:rFonts w:ascii="仿宋" w:hAnsi="仿宋" w:eastAsia="仿宋"/>
          <w:color w:val="auto"/>
          <w:sz w:val="32"/>
          <w:szCs w:val="32"/>
        </w:rPr>
        <w:t>0.20</w:t>
      </w:r>
      <w:r>
        <w:rPr>
          <w:rFonts w:hint="eastAsia" w:ascii="仿宋" w:hAnsi="仿宋" w:eastAsia="仿宋"/>
          <w:color w:val="auto"/>
          <w:sz w:val="32"/>
          <w:szCs w:val="32"/>
        </w:rPr>
        <w:t>万元，水费</w:t>
      </w:r>
      <w:r>
        <w:rPr>
          <w:rFonts w:ascii="仿宋" w:hAnsi="仿宋" w:eastAsia="仿宋"/>
          <w:color w:val="auto"/>
          <w:sz w:val="32"/>
          <w:szCs w:val="32"/>
        </w:rPr>
        <w:t>0.4</w:t>
      </w:r>
      <w:r>
        <w:rPr>
          <w:rFonts w:hint="eastAsia" w:ascii="仿宋" w:hAnsi="仿宋" w:eastAsia="仿宋"/>
          <w:color w:val="auto"/>
          <w:sz w:val="32"/>
          <w:szCs w:val="32"/>
        </w:rPr>
        <w:t>万元，电费</w:t>
      </w:r>
      <w:r>
        <w:rPr>
          <w:rFonts w:ascii="仿宋" w:hAnsi="仿宋" w:eastAsia="仿宋"/>
          <w:color w:val="auto"/>
          <w:sz w:val="32"/>
          <w:szCs w:val="32"/>
        </w:rPr>
        <w:t>0.55</w:t>
      </w:r>
      <w:r>
        <w:rPr>
          <w:rFonts w:hint="eastAsia" w:ascii="仿宋" w:hAnsi="仿宋" w:eastAsia="仿宋"/>
          <w:color w:val="auto"/>
          <w:sz w:val="32"/>
          <w:szCs w:val="32"/>
        </w:rPr>
        <w:t>万元，邮电费</w:t>
      </w:r>
      <w:r>
        <w:rPr>
          <w:rFonts w:ascii="仿宋" w:hAnsi="仿宋" w:eastAsia="仿宋"/>
          <w:color w:val="auto"/>
          <w:sz w:val="32"/>
          <w:szCs w:val="32"/>
        </w:rPr>
        <w:t>1.63</w:t>
      </w:r>
      <w:r>
        <w:rPr>
          <w:rFonts w:hint="eastAsia" w:ascii="仿宋" w:hAnsi="仿宋" w:eastAsia="仿宋"/>
          <w:color w:val="auto"/>
          <w:sz w:val="32"/>
          <w:szCs w:val="32"/>
        </w:rPr>
        <w:t>万元，差旅费</w:t>
      </w:r>
      <w:r>
        <w:rPr>
          <w:rFonts w:ascii="仿宋" w:hAnsi="仿宋" w:eastAsia="仿宋"/>
          <w:color w:val="auto"/>
          <w:sz w:val="32"/>
          <w:szCs w:val="32"/>
        </w:rPr>
        <w:t>0.55</w:t>
      </w:r>
      <w:r>
        <w:rPr>
          <w:rFonts w:hint="eastAsia" w:ascii="仿宋" w:hAnsi="仿宋" w:eastAsia="仿宋"/>
          <w:color w:val="auto"/>
          <w:sz w:val="32"/>
          <w:szCs w:val="32"/>
        </w:rPr>
        <w:t>万元，维修（护）费</w:t>
      </w:r>
      <w:r>
        <w:rPr>
          <w:rFonts w:ascii="仿宋" w:hAnsi="仿宋" w:eastAsia="仿宋"/>
          <w:color w:val="auto"/>
          <w:sz w:val="32"/>
          <w:szCs w:val="32"/>
        </w:rPr>
        <w:t>0.55</w:t>
      </w:r>
      <w:r>
        <w:rPr>
          <w:rFonts w:hint="eastAsia" w:ascii="仿宋" w:hAnsi="仿宋" w:eastAsia="仿宋"/>
          <w:color w:val="auto"/>
          <w:sz w:val="32"/>
          <w:szCs w:val="32"/>
        </w:rPr>
        <w:t>万元，培训费</w:t>
      </w:r>
      <w:r>
        <w:rPr>
          <w:rFonts w:ascii="仿宋" w:hAnsi="仿宋" w:eastAsia="仿宋"/>
          <w:color w:val="auto"/>
          <w:sz w:val="32"/>
          <w:szCs w:val="32"/>
        </w:rPr>
        <w:t>0.75</w:t>
      </w:r>
      <w:r>
        <w:rPr>
          <w:rFonts w:hint="eastAsia" w:ascii="仿宋" w:hAnsi="仿宋" w:eastAsia="仿宋"/>
          <w:color w:val="auto"/>
          <w:sz w:val="32"/>
          <w:szCs w:val="32"/>
        </w:rPr>
        <w:t>万元，公务接待费</w:t>
      </w:r>
      <w:r>
        <w:rPr>
          <w:rFonts w:ascii="仿宋" w:hAnsi="仿宋" w:eastAsia="仿宋"/>
          <w:color w:val="auto"/>
          <w:sz w:val="32"/>
          <w:szCs w:val="32"/>
        </w:rPr>
        <w:t>0.40</w:t>
      </w:r>
      <w:r>
        <w:rPr>
          <w:rFonts w:hint="eastAsia" w:ascii="仿宋" w:hAnsi="仿宋" w:eastAsia="仿宋"/>
          <w:color w:val="auto"/>
          <w:sz w:val="32"/>
          <w:szCs w:val="32"/>
        </w:rPr>
        <w:t>万元，公务交通补贴</w:t>
      </w:r>
      <w:r>
        <w:rPr>
          <w:rFonts w:ascii="仿宋" w:hAnsi="仿宋" w:eastAsia="仿宋"/>
          <w:color w:val="auto"/>
          <w:sz w:val="32"/>
          <w:szCs w:val="32"/>
        </w:rPr>
        <w:t>3.6</w:t>
      </w:r>
      <w:r>
        <w:rPr>
          <w:rFonts w:hint="eastAsia" w:ascii="仿宋" w:hAnsi="仿宋" w:eastAsia="仿宋"/>
          <w:color w:val="auto"/>
          <w:sz w:val="32"/>
          <w:szCs w:val="32"/>
        </w:rPr>
        <w:t>万元，其他商品和服务支出</w:t>
      </w:r>
      <w:r>
        <w:rPr>
          <w:rFonts w:ascii="仿宋" w:hAnsi="仿宋" w:eastAsia="仿宋"/>
          <w:color w:val="auto"/>
          <w:sz w:val="32"/>
          <w:szCs w:val="32"/>
        </w:rPr>
        <w:t>2.47</w:t>
      </w:r>
      <w:r>
        <w:rPr>
          <w:rFonts w:hint="eastAsia" w:ascii="仿宋" w:hAnsi="仿宋" w:eastAsia="仿宋"/>
          <w:color w:val="auto"/>
          <w:sz w:val="32"/>
          <w:szCs w:val="32"/>
        </w:rPr>
        <w:t>万元。</w:t>
      </w:r>
    </w:p>
    <w:p>
      <w:pPr>
        <w:ind w:firstLine="643" w:firstLineChars="200"/>
        <w:rPr>
          <w:rFonts w:ascii="仿宋" w:hAnsi="仿宋" w:eastAsia="仿宋"/>
          <w:b/>
          <w:color w:val="auto"/>
          <w:sz w:val="32"/>
          <w:szCs w:val="32"/>
        </w:rPr>
      </w:pPr>
      <w:r>
        <w:rPr>
          <w:rFonts w:hint="eastAsia" w:ascii="仿宋" w:hAnsi="仿宋" w:eastAsia="仿宋"/>
          <w:b/>
          <w:color w:val="auto"/>
          <w:sz w:val="32"/>
          <w:szCs w:val="32"/>
          <w:lang w:eastAsia="zh-CN"/>
        </w:rPr>
        <w:t>（二）</w:t>
      </w:r>
      <w:r>
        <w:rPr>
          <w:rFonts w:hint="eastAsia" w:ascii="仿宋" w:hAnsi="仿宋" w:eastAsia="仿宋"/>
          <w:b/>
          <w:color w:val="auto"/>
          <w:sz w:val="32"/>
          <w:szCs w:val="32"/>
        </w:rPr>
        <w:t>政府采购安排情况</w:t>
      </w:r>
    </w:p>
    <w:p>
      <w:pPr>
        <w:ind w:firstLine="640" w:firstLineChars="200"/>
        <w:rPr>
          <w:rFonts w:ascii="仿宋" w:hAnsi="仿宋" w:eastAsia="仿宋"/>
          <w:color w:val="auto"/>
          <w:sz w:val="32"/>
          <w:szCs w:val="32"/>
        </w:rPr>
      </w:pPr>
      <w:r>
        <w:rPr>
          <w:rFonts w:ascii="仿宋" w:hAnsi="仿宋" w:eastAsia="仿宋"/>
          <w:color w:val="auto"/>
          <w:sz w:val="32"/>
          <w:szCs w:val="32"/>
        </w:rPr>
        <w:t>2018</w:t>
      </w:r>
      <w:r>
        <w:rPr>
          <w:rFonts w:hint="eastAsia" w:ascii="仿宋" w:hAnsi="仿宋" w:eastAsia="仿宋"/>
          <w:color w:val="auto"/>
          <w:sz w:val="32"/>
          <w:szCs w:val="32"/>
        </w:rPr>
        <w:t>年我局没有安排政府采购预算。</w:t>
      </w:r>
    </w:p>
    <w:p>
      <w:pPr>
        <w:ind w:firstLine="643" w:firstLineChars="200"/>
        <w:rPr>
          <w:rFonts w:ascii="仿宋_GB2312" w:eastAsia="仿宋_GB2312"/>
          <w:b/>
          <w:color w:val="auto"/>
          <w:sz w:val="32"/>
          <w:szCs w:val="32"/>
        </w:rPr>
      </w:pPr>
      <w:r>
        <w:rPr>
          <w:rFonts w:hint="eastAsia" w:ascii="仿宋_GB2312" w:eastAsia="仿宋_GB2312"/>
          <w:b/>
          <w:color w:val="auto"/>
          <w:sz w:val="32"/>
          <w:szCs w:val="32"/>
          <w:lang w:eastAsia="zh-CN"/>
        </w:rPr>
        <w:t>（三）</w:t>
      </w:r>
      <w:r>
        <w:rPr>
          <w:rFonts w:hint="eastAsia" w:ascii="仿宋_GB2312" w:eastAsia="仿宋_GB2312"/>
          <w:b/>
          <w:color w:val="auto"/>
          <w:sz w:val="32"/>
          <w:szCs w:val="32"/>
        </w:rPr>
        <w:t>关于国有资产占用情况说明</w:t>
      </w:r>
    </w:p>
    <w:p>
      <w:pPr>
        <w:ind w:firstLine="640" w:firstLineChars="200"/>
        <w:rPr>
          <w:rFonts w:ascii="仿宋" w:hAnsi="仿宋" w:eastAsia="仿宋"/>
          <w:color w:val="auto"/>
          <w:sz w:val="32"/>
          <w:szCs w:val="32"/>
        </w:rPr>
      </w:pPr>
      <w:r>
        <w:rPr>
          <w:rFonts w:hint="eastAsia" w:ascii="仿宋_GB2312" w:hAnsi="仿宋_GB2312" w:eastAsia="仿宋_GB2312" w:cs="仿宋_GB2312"/>
          <w:color w:val="auto"/>
          <w:sz w:val="32"/>
          <w:szCs w:val="32"/>
        </w:rPr>
        <w:t>截至</w:t>
      </w:r>
      <w:r>
        <w:rPr>
          <w:rFonts w:hint="eastAsia" w:ascii="仿宋_GB2312" w:hAnsi="仿宋_GB2312" w:eastAsia="仿宋_GB2312" w:cs="仿宋_GB2312"/>
          <w:color w:val="auto"/>
          <w:sz w:val="32"/>
          <w:szCs w:val="32"/>
          <w:lang w:val="en-US" w:eastAsia="zh-CN"/>
        </w:rPr>
        <w:t>2018</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日，共有车辆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辆，其中，一般公务用车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。具体情况说明：</w:t>
      </w:r>
      <w:r>
        <w:rPr>
          <w:rFonts w:hint="eastAsia" w:ascii="仿宋" w:hAnsi="仿宋" w:eastAsia="仿宋"/>
          <w:color w:val="auto"/>
          <w:sz w:val="32"/>
          <w:szCs w:val="32"/>
        </w:rPr>
        <w:t>我局资产账有一般公务用车</w:t>
      </w:r>
      <w:r>
        <w:rPr>
          <w:rFonts w:ascii="仿宋" w:hAnsi="仿宋" w:eastAsia="仿宋"/>
          <w:color w:val="auto"/>
          <w:sz w:val="32"/>
          <w:szCs w:val="32"/>
        </w:rPr>
        <w:t>1</w:t>
      </w:r>
      <w:r>
        <w:rPr>
          <w:rFonts w:hint="eastAsia" w:ascii="仿宋" w:hAnsi="仿宋" w:eastAsia="仿宋"/>
          <w:color w:val="auto"/>
          <w:sz w:val="32"/>
          <w:szCs w:val="32"/>
        </w:rPr>
        <w:t>辆，实行公车改革，由市粮食局集中统一管理使用，公车费用预算由市粮食局统一集中编报。</w:t>
      </w:r>
    </w:p>
    <w:p>
      <w:pPr>
        <w:numPr>
          <w:ilvl w:val="0"/>
          <w:numId w:val="0"/>
        </w:numPr>
        <w:ind w:left="643" w:leftChars="0"/>
        <w:rPr>
          <w:rFonts w:hint="eastAsia" w:ascii="仿宋_GB2312" w:eastAsia="仿宋_GB2312"/>
          <w:b/>
          <w:color w:val="auto"/>
          <w:sz w:val="32"/>
          <w:szCs w:val="32"/>
        </w:rPr>
      </w:pPr>
      <w:r>
        <w:rPr>
          <w:rFonts w:hint="eastAsia" w:ascii="仿宋_GB2312" w:eastAsia="仿宋_GB2312"/>
          <w:b/>
          <w:color w:val="auto"/>
          <w:sz w:val="32"/>
          <w:szCs w:val="32"/>
          <w:lang w:eastAsia="zh-CN"/>
        </w:rPr>
        <w:t>（四）</w:t>
      </w:r>
      <w:r>
        <w:rPr>
          <w:rFonts w:hint="eastAsia" w:ascii="仿宋_GB2312" w:eastAsia="仿宋_GB2312"/>
          <w:b/>
          <w:color w:val="auto"/>
          <w:sz w:val="32"/>
          <w:szCs w:val="32"/>
        </w:rPr>
        <w:t>关于</w:t>
      </w:r>
      <w:r>
        <w:rPr>
          <w:rFonts w:ascii="仿宋_GB2312" w:eastAsia="仿宋_GB2312"/>
          <w:b/>
          <w:color w:val="auto"/>
          <w:sz w:val="32"/>
          <w:szCs w:val="32"/>
        </w:rPr>
        <w:t>2018</w:t>
      </w:r>
      <w:r>
        <w:rPr>
          <w:rFonts w:hint="eastAsia" w:ascii="仿宋_GB2312" w:eastAsia="仿宋_GB2312"/>
          <w:b/>
          <w:color w:val="auto"/>
          <w:sz w:val="32"/>
          <w:szCs w:val="32"/>
        </w:rPr>
        <w:t>年度预算绩效情况的说明</w:t>
      </w:r>
    </w:p>
    <w:p>
      <w:pPr>
        <w:numPr>
          <w:ilvl w:val="0"/>
          <w:numId w:val="0"/>
        </w:numPr>
        <w:ind w:left="643" w:leftChars="0"/>
        <w:rPr>
          <w:rFonts w:ascii="仿宋" w:hAnsi="仿宋" w:eastAsia="仿宋"/>
          <w:color w:val="auto"/>
          <w:sz w:val="32"/>
          <w:szCs w:val="32"/>
        </w:rPr>
      </w:pPr>
      <w:r>
        <w:rPr>
          <w:rFonts w:hint="eastAsia" w:ascii="仿宋_GB2312" w:eastAsia="仿宋_GB2312"/>
          <w:color w:val="auto"/>
          <w:sz w:val="32"/>
          <w:szCs w:val="32"/>
        </w:rPr>
        <w:t>我分局没有其他纳入市财政绩效评价要求的项目。</w:t>
      </w:r>
    </w:p>
    <w:p>
      <w:pPr>
        <w:ind w:firstLine="643" w:firstLineChars="200"/>
        <w:rPr>
          <w:rFonts w:ascii="仿宋" w:hAnsi="仿宋" w:eastAsia="仿宋"/>
          <w:b/>
          <w:color w:val="auto"/>
          <w:sz w:val="32"/>
          <w:szCs w:val="32"/>
        </w:rPr>
      </w:pPr>
      <w:r>
        <w:rPr>
          <w:rFonts w:hint="eastAsia" w:ascii="仿宋" w:hAnsi="仿宋" w:eastAsia="仿宋"/>
          <w:b/>
          <w:color w:val="auto"/>
          <w:sz w:val="32"/>
          <w:szCs w:val="32"/>
          <w:lang w:eastAsia="zh-CN"/>
        </w:rPr>
        <w:t>（五）</w:t>
      </w:r>
      <w:r>
        <w:rPr>
          <w:rFonts w:hint="eastAsia" w:ascii="仿宋" w:hAnsi="仿宋" w:eastAsia="仿宋"/>
          <w:b/>
          <w:color w:val="auto"/>
          <w:sz w:val="32"/>
          <w:szCs w:val="32"/>
        </w:rPr>
        <w:t>专业名词解释</w:t>
      </w:r>
    </w:p>
    <w:p>
      <w:pPr>
        <w:ind w:firstLine="640" w:firstLineChars="200"/>
        <w:rPr>
          <w:rFonts w:ascii="仿宋" w:hAnsi="仿宋" w:eastAsia="仿宋"/>
          <w:color w:val="auto"/>
          <w:sz w:val="32"/>
          <w:szCs w:val="32"/>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基本支出：指为保障机构正常运转、完成日常工作任务而发生的人员支出和公用支出。</w:t>
      </w:r>
    </w:p>
    <w:p>
      <w:pPr>
        <w:ind w:firstLine="640" w:firstLineChars="200"/>
        <w:rPr>
          <w:rFonts w:ascii="仿宋" w:hAnsi="仿宋" w:eastAsia="仿宋"/>
          <w:color w:val="auto"/>
          <w:sz w:val="32"/>
          <w:szCs w:val="32"/>
        </w:rPr>
      </w:pPr>
      <w:r>
        <w:rPr>
          <w:rFonts w:hint="eastAsia" w:ascii="仿宋" w:hAnsi="仿宋" w:eastAsia="仿宋"/>
          <w:color w:val="auto"/>
          <w:sz w:val="32"/>
          <w:szCs w:val="32"/>
          <w:lang w:val="en-US" w:eastAsia="zh-CN"/>
        </w:rPr>
        <w:t>2、</w:t>
      </w:r>
      <w:r>
        <w:rPr>
          <w:rFonts w:hint="eastAsia" w:ascii="仿宋" w:hAnsi="仿宋" w:eastAsia="仿宋"/>
          <w:color w:val="auto"/>
          <w:sz w:val="32"/>
          <w:szCs w:val="32"/>
        </w:rPr>
        <w:t>项目支出</w:t>
      </w:r>
      <w:r>
        <w:rPr>
          <w:rFonts w:ascii="仿宋" w:hAnsi="仿宋" w:eastAsia="仿宋"/>
          <w:color w:val="auto"/>
          <w:sz w:val="32"/>
          <w:szCs w:val="32"/>
        </w:rPr>
        <w:t>:</w:t>
      </w:r>
      <w:r>
        <w:rPr>
          <w:rFonts w:hint="eastAsia" w:ascii="仿宋" w:hAnsi="仿宋" w:eastAsia="仿宋"/>
          <w:color w:val="auto"/>
          <w:sz w:val="32"/>
          <w:szCs w:val="32"/>
        </w:rPr>
        <w:t>指在基本支出之外为完成特定行政任务和事业发展目标所发生的支出。</w:t>
      </w:r>
    </w:p>
    <w:p>
      <w:pPr>
        <w:ind w:firstLine="640" w:firstLineChars="200"/>
        <w:rPr>
          <w:rFonts w:ascii="仿宋" w:hAnsi="仿宋" w:eastAsia="仿宋"/>
          <w:color w:val="auto"/>
          <w:sz w:val="32"/>
          <w:szCs w:val="32"/>
        </w:rPr>
      </w:pPr>
      <w:r>
        <w:rPr>
          <w:rFonts w:hint="eastAsia" w:ascii="仿宋" w:hAnsi="仿宋" w:eastAsia="仿宋"/>
          <w:color w:val="auto"/>
          <w:sz w:val="32"/>
          <w:szCs w:val="32"/>
          <w:lang w:val="en-US" w:eastAsia="zh-CN"/>
        </w:rPr>
        <w:t>3、</w:t>
      </w:r>
      <w:r>
        <w:rPr>
          <w:rFonts w:hint="eastAsia" w:ascii="仿宋" w:hAnsi="仿宋" w:eastAsia="仿宋"/>
          <w:color w:val="auto"/>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过路过桥费、保险费、安全奖励费用等支出；公务接待费反映单位按规定开支的各类公务接待（含外宾接待）支出。</w:t>
      </w:r>
    </w:p>
    <w:p>
      <w:pPr>
        <w:ind w:firstLine="640" w:firstLineChars="200"/>
        <w:rPr>
          <w:rFonts w:hint="eastAsia" w:ascii="仿宋" w:hAnsi="仿宋" w:eastAsia="仿宋"/>
          <w:color w:val="auto"/>
          <w:sz w:val="32"/>
          <w:szCs w:val="32"/>
        </w:rPr>
      </w:pPr>
      <w:r>
        <w:rPr>
          <w:rFonts w:hint="eastAsia" w:ascii="仿宋" w:hAnsi="仿宋" w:eastAsia="仿宋"/>
          <w:color w:val="auto"/>
          <w:sz w:val="32"/>
          <w:szCs w:val="32"/>
          <w:lang w:val="en-US" w:eastAsia="zh-CN"/>
        </w:rPr>
        <w:t>4、</w:t>
      </w:r>
      <w:bookmarkStart w:id="0" w:name="_GoBack"/>
      <w:bookmarkEnd w:id="0"/>
      <w:r>
        <w:rPr>
          <w:rFonts w:hint="eastAsia" w:ascii="仿宋" w:hAnsi="仿宋" w:eastAsia="仿宋"/>
          <w:color w:val="auto"/>
          <w:sz w:val="32"/>
          <w:szCs w:val="32"/>
        </w:rPr>
        <w:t>机关运行经费：为保障行政单位（含参照公务员法管理的事业单位）运行用于购买货物和服务的各项资金，包括办公及印刷费、邮电费、差旅费、会议费、福利费、日常维护费、专用材料及一般设备购置费、办公用房水电费、办公用房物业管理费、公务用车运行维护费以及其他费用。</w:t>
      </w:r>
    </w:p>
    <w:p>
      <w:pPr>
        <w:ind w:firstLine="640" w:firstLineChars="200"/>
        <w:rPr>
          <w:rFonts w:hint="eastAsia" w:ascii="仿宋" w:hAnsi="仿宋" w:eastAsia="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"http://www.zjczj.gov.cn/fileserver/News/364161c8-19f6-4baa-bb50-0ccf8fe93c13.xls" \o "附件：附件一：2018年财政拨款收支总表"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附件一：2018年财政拨款收支总表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"http://www.zjczj.gov.cn/fileserver/News/df6b05f4-ab46-4ca2-84c3-d7d668399510.xls" \o "附件：附件二：2018年一般公共预算支出表"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附件二：2018年一般公共预算支出表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131"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"http://www.zjczj.gov.cn/fileserver/News/fbe9e3b9-c5d4-485e-8168-4d57529b2ec9.xls" \o "附件：附件三：2018年一般公共预算基本支出表（部门经济分类）"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附件三：2018年一般公共预算基本支出表（部门经济分类）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131" w:leftChars="304" w:right="0" w:rightChars="0" w:hanging="1280" w:hangingChars="4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"http://www.zjczj.gov.cn/fileserver/News/0af8d299-74e5-4e76-823e-11c160d03e38.xls" \o "附件：附件四：2018年一般公共预算基本支出表（政府经济分类）"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附件四：2018年一般公共预算基本支出表（政府经济分类）</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"http://www.zjczj.gov.cn/fileserver/News/e9c667c2-ee87-45c8-bc6d-b2b2b4d1f18c.xls" \o "附件：附件五：2018年一般公共预算\“三公\”经费支出表"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附件五：2018年一般公共预算“三公”经费支出表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"http://www.zjczj.gov.cn/fileserver/News/b3ca9ae0-c89a-46e0-8c3c-4fbf6de23f04.xls" \o "附件：附件六：2018年政府性基金预算支出表"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附件六：2018年政府性基金预算支出表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"http://www.zjczj.gov.cn/fileserver/News/c13309d8-7ba2-4dc0-880e-609ec7dd0d2e.xls" \o "附件：附件七：2018年部门收支总表"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附件七：2018年部门收支总表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"http://www.zjczj.gov.cn/fileserver/News/8784327b-4c75-4f64-8548-176d8db44c69.xls" \o "附件：附件八：2018年部门收入表"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附件八：2018年部门收入表</w:t>
      </w:r>
      <w:r>
        <w:rPr>
          <w:rFonts w:hint="eastAsia" w:ascii="仿宋" w:hAnsi="仿宋" w:eastAsia="仿宋" w:cs="仿宋"/>
          <w:b w:val="0"/>
          <w:i w:val="0"/>
          <w:caps w:val="0"/>
          <w:color w:val="333333"/>
          <w:spacing w:val="0"/>
          <w:sz w:val="32"/>
          <w:szCs w:val="32"/>
          <w:u w:val="none"/>
          <w:shd w:val="clear" w:fill="FFFFFF"/>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i w:val="0"/>
          <w:caps w:val="0"/>
          <w:color w:val="333333"/>
          <w:spacing w:val="0"/>
          <w:sz w:val="32"/>
          <w:szCs w:val="32"/>
          <w:u w:val="none"/>
          <w:shd w:val="clear" w:fill="FFFFFF"/>
        </w:rPr>
      </w:pPr>
      <w:r>
        <w:rPr>
          <w:rFonts w:hint="eastAsia" w:ascii="仿宋" w:hAnsi="仿宋" w:eastAsia="仿宋" w:cs="仿宋"/>
          <w:b w:val="0"/>
          <w:i w:val="0"/>
          <w:caps w:val="0"/>
          <w:color w:val="333333"/>
          <w:spacing w:val="0"/>
          <w:sz w:val="32"/>
          <w:szCs w:val="32"/>
          <w:u w:val="none"/>
          <w:shd w:val="clear" w:fill="FFFFFF"/>
        </w:rPr>
        <w:fldChar w:fldCharType="begin"/>
      </w:r>
      <w:r>
        <w:rPr>
          <w:rFonts w:hint="eastAsia" w:ascii="仿宋" w:hAnsi="仿宋" w:eastAsia="仿宋" w:cs="仿宋"/>
          <w:b w:val="0"/>
          <w:i w:val="0"/>
          <w:caps w:val="0"/>
          <w:color w:val="333333"/>
          <w:spacing w:val="0"/>
          <w:sz w:val="32"/>
          <w:szCs w:val="32"/>
          <w:u w:val="none"/>
          <w:shd w:val="clear" w:fill="FFFFFF"/>
        </w:rPr>
        <w:instrText xml:space="preserve"> HYPERLINK "http://www.zjczj.gov.cn/fileserver/News/6d5cda87-27b8-4e19-af41-b206485e5c54.xls" \o "附件：附件九：2018年部门支出表" \t "http://www.zjczj.gov.cn/Sites/Pages/_blank" </w:instrText>
      </w:r>
      <w:r>
        <w:rPr>
          <w:rFonts w:hint="eastAsia" w:ascii="仿宋" w:hAnsi="仿宋" w:eastAsia="仿宋" w:cs="仿宋"/>
          <w:b w:val="0"/>
          <w:i w:val="0"/>
          <w:caps w:val="0"/>
          <w:color w:val="333333"/>
          <w:spacing w:val="0"/>
          <w:sz w:val="32"/>
          <w:szCs w:val="32"/>
          <w:u w:val="none"/>
          <w:shd w:val="clear" w:fill="FFFFFF"/>
        </w:rPr>
        <w:fldChar w:fldCharType="separate"/>
      </w:r>
      <w:r>
        <w:rPr>
          <w:rFonts w:hint="eastAsia" w:ascii="仿宋" w:hAnsi="仿宋" w:eastAsia="仿宋" w:cs="仿宋"/>
          <w:b w:val="0"/>
          <w:i w:val="0"/>
          <w:caps w:val="0"/>
          <w:color w:val="333333"/>
          <w:spacing w:val="0"/>
          <w:sz w:val="32"/>
          <w:szCs w:val="32"/>
          <w:u w:val="none"/>
          <w:shd w:val="clear" w:fill="FFFFFF"/>
        </w:rPr>
        <w:t>附件九：2018年部门支出表</w:t>
      </w:r>
      <w:r>
        <w:rPr>
          <w:rFonts w:hint="eastAsia" w:ascii="仿宋" w:hAnsi="仿宋" w:eastAsia="仿宋" w:cs="仿宋"/>
          <w:b w:val="0"/>
          <w:i w:val="0"/>
          <w:caps w:val="0"/>
          <w:color w:val="333333"/>
          <w:spacing w:val="0"/>
          <w:sz w:val="32"/>
          <w:szCs w:val="32"/>
          <w:u w:val="none"/>
          <w:shd w:val="clear" w:fill="FFFFFF"/>
        </w:rPr>
        <w:fldChar w:fldCharType="end"/>
      </w:r>
    </w:p>
    <w:p>
      <w:pPr>
        <w:ind w:firstLine="640" w:firstLineChars="200"/>
        <w:rPr>
          <w:rFonts w:hint="eastAsia" w:ascii="仿宋" w:hAnsi="仿宋" w:eastAsia="仿宋"/>
          <w:color w:val="auto"/>
          <w:sz w:val="32"/>
          <w:szCs w:val="32"/>
        </w:rPr>
      </w:pPr>
    </w:p>
    <w:p>
      <w:pPr>
        <w:jc w:val="center"/>
        <w:rPr>
          <w:rFonts w:ascii="仿宋_GB2312" w:eastAsia="仿宋_GB2312"/>
          <w:b/>
          <w:color w:val="auto"/>
          <w:sz w:val="44"/>
          <w:szCs w:val="44"/>
        </w:rPr>
      </w:pPr>
    </w:p>
    <w:p>
      <w:pPr>
        <w:jc w:val="center"/>
        <w:rPr>
          <w:rFonts w:ascii="仿宋_GB2312" w:eastAsia="仿宋_GB2312"/>
          <w:b/>
          <w:color w:val="auto"/>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altName w:val="微软雅黑"/>
    <w:panose1 w:val="0201060900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_5b8b_4f53">
    <w:altName w:val="Times New Roman"/>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21316"/>
    <w:multiLevelType w:val="singleLevel"/>
    <w:tmpl w:val="BBE21316"/>
    <w:lvl w:ilvl="0" w:tentative="0">
      <w:start w:val="4"/>
      <w:numFmt w:val="chineseCounting"/>
      <w:suff w:val="nothing"/>
      <w:lvlText w:val="%1、"/>
      <w:lvlJc w:val="left"/>
      <w:rPr>
        <w:rFonts w:cs="Times New Roman"/>
      </w:rPr>
    </w:lvl>
  </w:abstractNum>
  <w:abstractNum w:abstractNumId="1">
    <w:nsid w:val="58934EEA"/>
    <w:multiLevelType w:val="multilevel"/>
    <w:tmpl w:val="58934EEA"/>
    <w:lvl w:ilvl="0" w:tentative="0">
      <w:start w:val="1"/>
      <w:numFmt w:val="japaneseCounting"/>
      <w:lvlText w:val="（%1）"/>
      <w:lvlJc w:val="left"/>
      <w:pPr>
        <w:tabs>
          <w:tab w:val="left" w:pos="1723"/>
        </w:tabs>
        <w:ind w:left="1723" w:hanging="1080"/>
      </w:pPr>
      <w:rPr>
        <w:rFonts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CF7"/>
    <w:rsid w:val="001A3CC4"/>
    <w:rsid w:val="00360C86"/>
    <w:rsid w:val="004B6CF7"/>
    <w:rsid w:val="005371C3"/>
    <w:rsid w:val="00711A1D"/>
    <w:rsid w:val="007B62B7"/>
    <w:rsid w:val="00870420"/>
    <w:rsid w:val="00955AD2"/>
    <w:rsid w:val="00B11CDA"/>
    <w:rsid w:val="00D005A6"/>
    <w:rsid w:val="00EB731A"/>
    <w:rsid w:val="03CC2AFA"/>
    <w:rsid w:val="0D627627"/>
    <w:rsid w:val="28AF21B3"/>
    <w:rsid w:val="29083B08"/>
    <w:rsid w:val="64022BC3"/>
    <w:rsid w:val="6E58783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3366FF"/>
      <w:kern w:val="2"/>
      <w:sz w:val="28"/>
      <w:szCs w:val="24"/>
      <w:lang w:val="en-US" w:eastAsia="zh-CN" w:bidi="ar-SA"/>
    </w:rPr>
  </w:style>
  <w:style w:type="character" w:default="1" w:styleId="2">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qFormat/>
    <w:uiPriority w:val="0"/>
    <w:pPr>
      <w:widowControl/>
      <w:spacing w:line="560" w:lineRule="atLeast"/>
      <w:ind w:firstLine="420"/>
    </w:pPr>
    <w:rPr>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iTianKong.com</Company>
  <Pages>4</Pages>
  <Words>266</Words>
  <Characters>1519</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2018-02-06T07:44:00Z</dcterms:created>
  <dc:creator>袁园雯</dc:creator>
  <cp:lastModifiedBy>Administrator</cp:lastModifiedBy>
  <dcterms:modified xsi:type="dcterms:W3CDTF">2018-02-09T10:57:57Z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