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s="宋体"/>
          <w:b/>
          <w:bCs/>
          <w:color w:val="000000"/>
          <w:kern w:val="0"/>
          <w:sz w:val="44"/>
          <w:szCs w:val="44"/>
          <w:lang w:eastAsia="zh-CN" w:bidi="ar"/>
        </w:rPr>
      </w:pPr>
      <w:r>
        <w:rPr>
          <w:rFonts w:hint="eastAsia" w:ascii="宋体" w:hAnsi="宋体" w:cs="宋体"/>
          <w:b/>
          <w:bCs/>
          <w:color w:val="000000"/>
          <w:kern w:val="0"/>
          <w:sz w:val="44"/>
          <w:szCs w:val="44"/>
          <w:lang w:eastAsia="zh-CN" w:bidi="ar"/>
        </w:rPr>
        <w:t>财政拨款安排的行政经费及“三公”经费支出情况表</w:t>
      </w:r>
    </w:p>
    <w:p>
      <w:pPr>
        <w:rPr>
          <w:rFonts w:hint="eastAsia" w:ascii="宋体" w:hAnsi="宋体" w:cs="宋体"/>
          <w:color w:val="000000"/>
          <w:kern w:val="0"/>
          <w:sz w:val="18"/>
          <w:szCs w:val="18"/>
          <w:lang w:eastAsia="zh-CN" w:bidi="ar"/>
        </w:rPr>
      </w:pPr>
    </w:p>
    <w:p>
      <w:pPr>
        <w:rPr>
          <w:rFonts w:hint="eastAsia" w:ascii="宋体" w:hAnsi="宋体" w:cs="宋体"/>
          <w:color w:val="000000"/>
          <w:kern w:val="0"/>
          <w:sz w:val="21"/>
          <w:szCs w:val="21"/>
          <w:lang w:val="en-US" w:eastAsia="zh-CN" w:bidi="ar"/>
        </w:rPr>
      </w:pPr>
      <w:r>
        <w:rPr>
          <w:rFonts w:hint="eastAsia" w:ascii="宋体" w:hAnsi="宋体" w:cs="宋体"/>
          <w:color w:val="000000"/>
          <w:kern w:val="0"/>
          <w:sz w:val="21"/>
          <w:szCs w:val="21"/>
          <w:lang w:eastAsia="zh-CN" w:bidi="ar"/>
        </w:rPr>
        <w:t>单位名称：中共湛江市委党校</w:t>
      </w:r>
      <w:r>
        <w:rPr>
          <w:rFonts w:hint="eastAsia" w:ascii="宋体" w:hAnsi="宋体" w:cs="宋体"/>
          <w:color w:val="000000"/>
          <w:kern w:val="0"/>
          <w:sz w:val="21"/>
          <w:szCs w:val="21"/>
          <w:lang w:val="en-US" w:eastAsia="zh-CN" w:bidi="ar"/>
        </w:rPr>
        <w:t xml:space="preserve">                       单位：万元</w:t>
      </w:r>
    </w:p>
    <w:tbl>
      <w:tblPr>
        <w:tblStyle w:val="4"/>
        <w:tblW w:w="141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860"/>
        <w:gridCol w:w="2155"/>
        <w:gridCol w:w="2037"/>
        <w:gridCol w:w="2037"/>
        <w:gridCol w:w="2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00" w:hRule="atLeast"/>
        </w:trPr>
        <w:tc>
          <w:tcPr>
            <w:tcW w:w="5860" w:type="dxa"/>
          </w:tcPr>
          <w:p>
            <w:pPr>
              <w:jc w:val="center"/>
              <w:rPr>
                <w:rFonts w:hint="eastAsia" w:ascii="宋体" w:hAnsi="宋体" w:cs="宋体"/>
                <w:b/>
                <w:bCs/>
                <w:color w:val="000000"/>
                <w:kern w:val="0"/>
                <w:sz w:val="24"/>
                <w:szCs w:val="24"/>
                <w:vertAlign w:val="baseline"/>
                <w:lang w:val="en-US" w:eastAsia="zh-CN" w:bidi="ar"/>
              </w:rPr>
            </w:pPr>
            <w:r>
              <w:rPr>
                <w:rFonts w:hint="eastAsia" w:ascii="宋体" w:hAnsi="宋体" w:cs="宋体"/>
                <w:b/>
                <w:bCs/>
                <w:color w:val="000000"/>
                <w:kern w:val="0"/>
                <w:sz w:val="24"/>
                <w:szCs w:val="24"/>
                <w:vertAlign w:val="baseline"/>
                <w:lang w:val="en-US" w:eastAsia="zh-CN" w:bidi="ar"/>
              </w:rPr>
              <w:t>项       目</w:t>
            </w:r>
          </w:p>
        </w:tc>
        <w:tc>
          <w:tcPr>
            <w:tcW w:w="2155" w:type="dxa"/>
          </w:tcPr>
          <w:p>
            <w:pPr>
              <w:jc w:val="center"/>
              <w:rPr>
                <w:rFonts w:hint="eastAsia" w:ascii="宋体" w:hAnsi="宋体" w:cs="宋体"/>
                <w:b/>
                <w:bCs/>
                <w:color w:val="000000"/>
                <w:kern w:val="0"/>
                <w:sz w:val="24"/>
                <w:szCs w:val="24"/>
                <w:vertAlign w:val="baseline"/>
                <w:lang w:val="en-US" w:eastAsia="zh-CN" w:bidi="ar"/>
              </w:rPr>
            </w:pPr>
            <w:r>
              <w:rPr>
                <w:rFonts w:hint="eastAsia" w:ascii="宋体" w:hAnsi="宋体" w:cs="宋体"/>
                <w:b/>
                <w:bCs/>
                <w:color w:val="000000"/>
                <w:kern w:val="0"/>
                <w:sz w:val="24"/>
                <w:szCs w:val="24"/>
                <w:vertAlign w:val="baseline"/>
                <w:lang w:val="en-US" w:eastAsia="zh-CN" w:bidi="ar"/>
              </w:rPr>
              <w:t>合计</w:t>
            </w:r>
          </w:p>
        </w:tc>
        <w:tc>
          <w:tcPr>
            <w:tcW w:w="2037" w:type="dxa"/>
          </w:tcPr>
          <w:p>
            <w:pPr>
              <w:jc w:val="center"/>
              <w:rPr>
                <w:rFonts w:hint="eastAsia" w:ascii="宋体" w:hAnsi="宋体" w:cs="宋体"/>
                <w:b/>
                <w:bCs/>
                <w:color w:val="000000"/>
                <w:kern w:val="0"/>
                <w:sz w:val="24"/>
                <w:szCs w:val="24"/>
                <w:vertAlign w:val="baseline"/>
                <w:lang w:val="en-US" w:eastAsia="zh-CN" w:bidi="ar"/>
              </w:rPr>
            </w:pPr>
            <w:r>
              <w:rPr>
                <w:rFonts w:hint="eastAsia" w:ascii="宋体" w:hAnsi="宋体" w:cs="宋体"/>
                <w:b/>
                <w:bCs/>
                <w:color w:val="000000"/>
                <w:kern w:val="0"/>
                <w:sz w:val="24"/>
                <w:szCs w:val="24"/>
                <w:vertAlign w:val="baseline"/>
                <w:lang w:val="en-US" w:eastAsia="zh-CN" w:bidi="ar"/>
              </w:rPr>
              <w:t>一般公共预算</w:t>
            </w:r>
          </w:p>
        </w:tc>
        <w:tc>
          <w:tcPr>
            <w:tcW w:w="2037" w:type="dxa"/>
          </w:tcPr>
          <w:p>
            <w:pPr>
              <w:jc w:val="center"/>
              <w:rPr>
                <w:rFonts w:hint="eastAsia" w:ascii="宋体" w:hAnsi="宋体" w:cs="宋体"/>
                <w:b/>
                <w:bCs/>
                <w:color w:val="000000"/>
                <w:kern w:val="0"/>
                <w:sz w:val="24"/>
                <w:szCs w:val="24"/>
                <w:vertAlign w:val="baseline"/>
                <w:lang w:val="en-US" w:eastAsia="zh-CN" w:bidi="ar"/>
              </w:rPr>
            </w:pPr>
            <w:r>
              <w:rPr>
                <w:rFonts w:hint="eastAsia" w:ascii="宋体" w:hAnsi="宋体" w:cs="宋体"/>
                <w:b/>
                <w:bCs/>
                <w:color w:val="000000"/>
                <w:kern w:val="0"/>
                <w:sz w:val="24"/>
                <w:szCs w:val="24"/>
                <w:vertAlign w:val="baseline"/>
                <w:lang w:val="en-US" w:eastAsia="zh-CN" w:bidi="ar"/>
              </w:rPr>
              <w:t>政府性基金预算</w:t>
            </w:r>
          </w:p>
        </w:tc>
        <w:tc>
          <w:tcPr>
            <w:tcW w:w="2039" w:type="dxa"/>
          </w:tcPr>
          <w:p>
            <w:pPr>
              <w:jc w:val="center"/>
              <w:rPr>
                <w:rFonts w:hint="eastAsia" w:ascii="宋体" w:hAnsi="宋体" w:cs="宋体"/>
                <w:b/>
                <w:bCs/>
                <w:color w:val="000000"/>
                <w:kern w:val="0"/>
                <w:sz w:val="24"/>
                <w:szCs w:val="24"/>
                <w:vertAlign w:val="baseline"/>
                <w:lang w:val="en-US" w:eastAsia="zh-CN" w:bidi="ar"/>
              </w:rPr>
            </w:pPr>
            <w:r>
              <w:rPr>
                <w:rFonts w:hint="eastAsia" w:ascii="宋体" w:hAnsi="宋体" w:cs="宋体"/>
                <w:b/>
                <w:bCs/>
                <w:color w:val="000000"/>
                <w:kern w:val="0"/>
                <w:sz w:val="24"/>
                <w:szCs w:val="24"/>
                <w:vertAlign w:val="baseline"/>
                <w:lang w:val="en-US" w:eastAsia="zh-CN" w:bidi="ar"/>
              </w:rPr>
              <w:t>国有资本经营预算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398" w:hRule="atLeast"/>
        </w:trPr>
        <w:tc>
          <w:tcPr>
            <w:tcW w:w="5860" w:type="dxa"/>
          </w:tcPr>
          <w:p>
            <w:pPr>
              <w:jc w:val="center"/>
              <w:rPr>
                <w:rFonts w:hint="eastAsia" w:ascii="宋体" w:hAnsi="宋体" w:cs="宋体"/>
                <w:color w:val="000000"/>
                <w:kern w:val="0"/>
                <w:sz w:val="24"/>
                <w:szCs w:val="24"/>
                <w:vertAlign w:val="baseline"/>
                <w:lang w:val="en-US" w:eastAsia="zh-CN" w:bidi="ar"/>
              </w:rPr>
            </w:pPr>
            <w:r>
              <w:rPr>
                <w:rFonts w:hint="eastAsia" w:ascii="宋体" w:hAnsi="宋体" w:cs="宋体"/>
                <w:b/>
                <w:bCs/>
                <w:color w:val="000000"/>
                <w:kern w:val="0"/>
                <w:sz w:val="24"/>
                <w:szCs w:val="24"/>
                <w:vertAlign w:val="baseline"/>
                <w:lang w:val="en-US" w:eastAsia="zh-CN" w:bidi="ar"/>
              </w:rPr>
              <w:t>行政经费</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1755.60</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1755.60</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411" w:hRule="atLeast"/>
        </w:trPr>
        <w:tc>
          <w:tcPr>
            <w:tcW w:w="5860"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“三公”经费</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9.12</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9.12</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397" w:hRule="atLeast"/>
        </w:trPr>
        <w:tc>
          <w:tcPr>
            <w:tcW w:w="5860"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 xml:space="preserve">    其中：（一）因公出国（境）支出</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371" w:hRule="atLeast"/>
        </w:trPr>
        <w:tc>
          <w:tcPr>
            <w:tcW w:w="5860"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 xml:space="preserve">          （二）公务用车购置及运行维护支出</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6.27</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6.27</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424" w:hRule="atLeast"/>
        </w:trPr>
        <w:tc>
          <w:tcPr>
            <w:tcW w:w="5860" w:type="dxa"/>
          </w:tcPr>
          <w:p>
            <w:pPr>
              <w:numPr>
                <w:numId w:val="0"/>
              </w:numPr>
              <w:ind w:firstLine="1920" w:firstLineChars="800"/>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1.公务用车购置</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439" w:hRule="atLeast"/>
        </w:trPr>
        <w:tc>
          <w:tcPr>
            <w:tcW w:w="5860"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 xml:space="preserve">                2.公务用车运行维护费</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6.27</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6.27</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435" w:hRule="atLeast"/>
        </w:trPr>
        <w:tc>
          <w:tcPr>
            <w:tcW w:w="5860"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 xml:space="preserve">          （三）公务接待费支出</w:t>
            </w:r>
          </w:p>
        </w:tc>
        <w:tc>
          <w:tcPr>
            <w:tcW w:w="2155"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2.85</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2.85</w:t>
            </w:r>
          </w:p>
        </w:tc>
        <w:tc>
          <w:tcPr>
            <w:tcW w:w="2037"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c>
          <w:tcPr>
            <w:tcW w:w="2039" w:type="dxa"/>
          </w:tcPr>
          <w:p>
            <w:pPr>
              <w:rPr>
                <w:rFonts w:hint="eastAsia" w:ascii="宋体" w:hAnsi="宋体" w:cs="宋体"/>
                <w:color w:val="000000"/>
                <w:kern w:val="0"/>
                <w:sz w:val="24"/>
                <w:szCs w:val="24"/>
                <w:vertAlign w:val="baseline"/>
                <w:lang w:val="en-US" w:eastAsia="zh-CN" w:bidi="ar"/>
              </w:rPr>
            </w:pPr>
            <w:r>
              <w:rPr>
                <w:rFonts w:hint="eastAsia" w:ascii="宋体" w:hAnsi="宋体" w:cs="宋体"/>
                <w:color w:val="000000"/>
                <w:kern w:val="0"/>
                <w:sz w:val="24"/>
                <w:szCs w:val="24"/>
                <w:vertAlign w:val="baseline"/>
                <w:lang w:val="en-US" w:eastAsia="zh-CN" w:bidi="ar"/>
              </w:rPr>
              <w:t>0.00</w:t>
            </w:r>
          </w:p>
        </w:tc>
      </w:tr>
    </w:tbl>
    <w:p>
      <w:pPr>
        <w:rPr>
          <w:rFonts w:hint="eastAsia" w:ascii="宋体" w:hAnsi="宋体" w:cs="宋体"/>
          <w:color w:val="000000"/>
          <w:kern w:val="0"/>
          <w:sz w:val="18"/>
          <w:szCs w:val="18"/>
          <w:lang w:val="en-US" w:eastAsia="zh-CN" w:bidi="ar"/>
        </w:rPr>
        <w:sectPr>
          <w:pgSz w:w="16838" w:h="11906" w:orient="landscape"/>
          <w:pgMar w:top="1800" w:right="1440" w:bottom="1800" w:left="1440" w:header="851" w:footer="992" w:gutter="0"/>
          <w:cols w:space="720" w:num="1"/>
          <w:docGrid w:type="lines" w:linePitch="312" w:charSpace="0"/>
        </w:sectPr>
      </w:pPr>
      <w:r>
        <w:rPr>
          <w:rFonts w:hint="eastAsia" w:ascii="宋体" w:hAnsi="宋体" w:cs="宋体"/>
          <w:color w:val="000000"/>
          <w:kern w:val="0"/>
          <w:sz w:val="18"/>
          <w:szCs w:val="18"/>
          <w:lang w:val="en-US" w:eastAsia="zh-CN" w:bidi="ar"/>
        </w:rPr>
        <w:t>注： “三公”经费包括因公出国（境）经费、公务用车购置及运行维护费和公务接待费。其中：因公出国（境）经费指省直行政单位、事业单位工作人员公务出国（境）的住宿费、差旅费、伙食补助费、杂费、培训费等支出；公务用车购置及运行维护费指省直行政单位、事业单位公务用车购置费、公务用车租用费、燃料费、维修费、过桥过路费、保险费等支出；公务接待费指省直行政单位、事业单位按规定开支的各类公务接待（外宾接待）费用。</w:t>
      </w:r>
      <w:bookmarkStart w:id="19" w:name="_GoBack"/>
      <w:bookmarkEnd w:id="19"/>
    </w:p>
    <w:p>
      <w:pPr>
        <w:numPr>
          <w:ilvl w:val="0"/>
          <w:numId w:val="0"/>
        </w:numPr>
        <w:jc w:val="both"/>
        <w:rPr>
          <w:rFonts w:hint="eastAsia" w:asciiTheme="majorEastAsia" w:hAnsiTheme="majorEastAsia" w:eastAsiaTheme="majorEastAsia" w:cstheme="majorEastAsia"/>
          <w:b/>
          <w:bCs/>
          <w:sz w:val="44"/>
          <w:szCs w:val="44"/>
        </w:rPr>
      </w:pPr>
    </w:p>
    <w:p>
      <w:pPr>
        <w:numPr>
          <w:ilvl w:val="0"/>
          <w:numId w:val="0"/>
        </w:numPr>
        <w:ind w:firstLine="1325" w:firstLineChars="300"/>
        <w:jc w:val="both"/>
        <w:rPr>
          <w:rFonts w:hint="eastAsia" w:asciiTheme="majorEastAsia" w:hAnsiTheme="majorEastAsia" w:eastAsiaTheme="majorEastAsia" w:cstheme="majorEastAsia"/>
          <w:b/>
          <w:bCs/>
          <w:sz w:val="44"/>
          <w:szCs w:val="44"/>
          <w:lang w:eastAsia="zh-CN"/>
        </w:rPr>
      </w:pPr>
      <w:r>
        <w:rPr>
          <w:rFonts w:hint="eastAsia" w:asciiTheme="majorEastAsia" w:hAnsiTheme="majorEastAsia" w:eastAsiaTheme="majorEastAsia" w:cstheme="majorEastAsia"/>
          <w:b/>
          <w:bCs/>
          <w:sz w:val="44"/>
          <w:szCs w:val="44"/>
        </w:rPr>
        <w:t>“三公”经费安排情况</w:t>
      </w:r>
      <w:r>
        <w:rPr>
          <w:rFonts w:hint="eastAsia" w:asciiTheme="majorEastAsia" w:hAnsiTheme="majorEastAsia" w:eastAsiaTheme="majorEastAsia" w:cstheme="majorEastAsia"/>
          <w:b/>
          <w:bCs/>
          <w:sz w:val="44"/>
          <w:szCs w:val="44"/>
          <w:lang w:eastAsia="zh-CN"/>
        </w:rPr>
        <w:t>说明</w:t>
      </w:r>
    </w:p>
    <w:p>
      <w:pPr>
        <w:numPr>
          <w:ilvl w:val="0"/>
          <w:numId w:val="0"/>
        </w:numPr>
        <w:jc w:val="center"/>
        <w:rPr>
          <w:rFonts w:hint="eastAsia" w:asciiTheme="minorEastAsia" w:hAnsiTheme="minorEastAsia" w:eastAsiaTheme="minorEastAsia" w:cstheme="minorEastAsia"/>
          <w:sz w:val="44"/>
          <w:szCs w:val="44"/>
          <w:lang w:eastAsia="zh-CN"/>
        </w:rPr>
      </w:pPr>
    </w:p>
    <w:p>
      <w:pPr>
        <w:rPr>
          <w:rFonts w:ascii="仿宋_GB2312" w:hAnsi="仿宋_GB2312" w:eastAsia="仿宋_GB2312" w:cs="仿宋_GB2312"/>
          <w:sz w:val="30"/>
          <w:szCs w:val="30"/>
        </w:rPr>
      </w:pPr>
      <w:r>
        <w:rPr>
          <w:rFonts w:hint="eastAsia" w:ascii="仿宋_GB2312" w:hAnsi="仿宋_GB2312" w:eastAsia="仿宋_GB2312" w:cs="仿宋_GB2312"/>
          <w:sz w:val="30"/>
          <w:szCs w:val="30"/>
        </w:rPr>
        <w:t xml:space="preserve">   </w:t>
      </w:r>
      <w:bookmarkStart w:id="0" w:name="PO_part3A2Year1"/>
      <w:r>
        <w:rPr>
          <w:rFonts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2019</w:t>
      </w:r>
      <w:r>
        <w:rPr>
          <w:rFonts w:ascii="仿宋_GB2312" w:hAnsi="仿宋_GB2312" w:eastAsia="仿宋_GB2312" w:cs="仿宋_GB2312"/>
          <w:sz w:val="30"/>
          <w:szCs w:val="30"/>
        </w:rPr>
        <w:t xml:space="preserve"> </w:t>
      </w:r>
      <w:bookmarkEnd w:id="0"/>
      <w:r>
        <w:rPr>
          <w:rFonts w:hint="eastAsia" w:ascii="仿宋_GB2312" w:hAnsi="仿宋_GB2312" w:eastAsia="仿宋_GB2312" w:cs="仿宋_GB2312"/>
          <w:sz w:val="30"/>
          <w:szCs w:val="30"/>
        </w:rPr>
        <w:t>年本部门财政拨款安排“三公”经费</w:t>
      </w:r>
      <w:bookmarkStart w:id="1" w:name="PO_part3A2Amount1"/>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9.12</w:t>
      </w:r>
      <w:r>
        <w:rPr>
          <w:rFonts w:ascii="仿宋_GB2312" w:hAnsi="仿宋_GB2312" w:eastAsia="仿宋_GB2312" w:cs="仿宋_GB2312"/>
          <w:sz w:val="30"/>
          <w:szCs w:val="30"/>
        </w:rPr>
        <w:t xml:space="preserve"> </w:t>
      </w:r>
      <w:bookmarkEnd w:id="1"/>
      <w:r>
        <w:rPr>
          <w:rFonts w:hint="eastAsia" w:ascii="仿宋_GB2312" w:hAnsi="仿宋_GB2312" w:eastAsia="仿宋_GB2312" w:cs="仿宋_GB2312"/>
          <w:sz w:val="30"/>
          <w:szCs w:val="30"/>
        </w:rPr>
        <w:t>万元，比上年</w:t>
      </w:r>
      <w:bookmarkStart w:id="2" w:name="PO_part3A2IncAmount1"/>
      <w:r>
        <w:rPr>
          <w:rFonts w:hint="eastAsia" w:ascii="仿宋_GB2312" w:hAnsi="仿宋_GB2312" w:eastAsia="仿宋_GB2312" w:cs="仿宋_GB2312"/>
          <w:sz w:val="30"/>
          <w:szCs w:val="30"/>
        </w:rPr>
        <w:t xml:space="preserve"> 减少</w:t>
      </w:r>
      <w:r>
        <w:rPr>
          <w:rFonts w:hint="eastAsia" w:ascii="仿宋_GB2312" w:hAnsi="仿宋_GB2312" w:eastAsia="仿宋_GB2312" w:cs="仿宋_GB2312"/>
          <w:sz w:val="30"/>
          <w:szCs w:val="30"/>
          <w:lang w:val="en-US" w:eastAsia="zh-CN"/>
        </w:rPr>
        <w:t>7.48</w:t>
      </w:r>
      <w:r>
        <w:rPr>
          <w:rFonts w:ascii="仿宋_GB2312" w:hAnsi="仿宋_GB2312" w:eastAsia="仿宋_GB2312" w:cs="仿宋_GB2312"/>
          <w:sz w:val="30"/>
          <w:szCs w:val="30"/>
        </w:rPr>
        <w:t xml:space="preserve"> </w:t>
      </w:r>
      <w:bookmarkEnd w:id="2"/>
      <w:r>
        <w:rPr>
          <w:rFonts w:hint="eastAsia" w:ascii="仿宋_GB2312" w:hAnsi="仿宋_GB2312" w:eastAsia="仿宋_GB2312" w:cs="仿宋_GB2312"/>
          <w:sz w:val="30"/>
          <w:szCs w:val="30"/>
        </w:rPr>
        <w:t>万元，</w:t>
      </w:r>
      <w:bookmarkStart w:id="3" w:name="PO_part3A2IncPercent1"/>
      <w:r>
        <w:rPr>
          <w:rFonts w:hint="eastAsia" w:ascii="仿宋_GB2312" w:hAnsi="仿宋_GB2312" w:eastAsia="仿宋_GB2312" w:cs="仿宋_GB2312"/>
          <w:sz w:val="30"/>
          <w:szCs w:val="30"/>
        </w:rPr>
        <w:t xml:space="preserve"> 下降</w:t>
      </w:r>
      <w:r>
        <w:rPr>
          <w:rFonts w:hint="eastAsia" w:ascii="仿宋_GB2312" w:hAnsi="仿宋_GB2312" w:eastAsia="仿宋_GB2312" w:cs="仿宋_GB2312"/>
          <w:sz w:val="30"/>
          <w:szCs w:val="30"/>
          <w:lang w:val="en-US" w:eastAsia="zh-CN"/>
        </w:rPr>
        <w:t>45</w:t>
      </w:r>
      <w:r>
        <w:rPr>
          <w:rFonts w:ascii="仿宋_GB2312" w:hAnsi="仿宋_GB2312" w:eastAsia="仿宋_GB2312" w:cs="仿宋_GB2312"/>
          <w:sz w:val="30"/>
          <w:szCs w:val="30"/>
        </w:rPr>
        <w:t xml:space="preserve"> </w:t>
      </w:r>
      <w:bookmarkEnd w:id="3"/>
      <w:r>
        <w:rPr>
          <w:rFonts w:hint="eastAsia" w:ascii="仿宋_GB2312" w:hAnsi="仿宋_GB2312" w:eastAsia="仿宋_GB2312" w:cs="仿宋_GB2312"/>
          <w:sz w:val="30"/>
          <w:szCs w:val="30"/>
        </w:rPr>
        <w:t>%，主要原因是</w:t>
      </w:r>
      <w:bookmarkStart w:id="4" w:name="PO_part3A2IncReason1"/>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eastAsia="zh-CN"/>
        </w:rPr>
        <w:t>我校严格执行中央八项规定，压缩公务接待费用。另2019年度起，非税支出部分不再纳入财政拨款“三公”经费的范畴，统一归入其他商品与服务支出中反映，因此造成本年度下降幅度较大</w:t>
      </w:r>
      <w:r>
        <w:rPr>
          <w:rFonts w:ascii="仿宋_GB2312" w:hAnsi="仿宋_GB2312" w:eastAsia="仿宋_GB2312" w:cs="仿宋_GB2312"/>
          <w:sz w:val="30"/>
          <w:szCs w:val="30"/>
        </w:rPr>
        <w:t xml:space="preserve"> </w:t>
      </w:r>
      <w:bookmarkEnd w:id="4"/>
      <w:r>
        <w:rPr>
          <w:rFonts w:hint="eastAsia" w:ascii="仿宋_GB2312" w:hAnsi="仿宋_GB2312" w:eastAsia="仿宋_GB2312" w:cs="仿宋_GB2312"/>
          <w:sz w:val="30"/>
          <w:szCs w:val="30"/>
        </w:rPr>
        <w:t>。其中：因公出国（境）费</w:t>
      </w:r>
      <w:bookmarkStart w:id="5" w:name="PO_part3A2Amount2"/>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0</w:t>
      </w:r>
      <w:r>
        <w:rPr>
          <w:rFonts w:ascii="仿宋_GB2312" w:hAnsi="仿宋_GB2312" w:eastAsia="仿宋_GB2312" w:cs="仿宋_GB2312"/>
          <w:sz w:val="30"/>
          <w:szCs w:val="30"/>
        </w:rPr>
        <w:t xml:space="preserve"> </w:t>
      </w:r>
      <w:bookmarkEnd w:id="5"/>
      <w:r>
        <w:rPr>
          <w:rFonts w:hint="eastAsia" w:ascii="仿宋_GB2312" w:hAnsi="仿宋_GB2312" w:eastAsia="仿宋_GB2312" w:cs="仿宋_GB2312"/>
          <w:sz w:val="30"/>
          <w:szCs w:val="30"/>
        </w:rPr>
        <w:t>万元，比上年</w:t>
      </w:r>
      <w:bookmarkStart w:id="6" w:name="PO_part3A2IncAmount2"/>
      <w:r>
        <w:rPr>
          <w:rFonts w:hint="eastAsia" w:ascii="仿宋_GB2312" w:hAnsi="仿宋_GB2312" w:eastAsia="仿宋_GB2312" w:cs="仿宋_GB2312"/>
          <w:sz w:val="30"/>
          <w:szCs w:val="30"/>
        </w:rPr>
        <w:t xml:space="preserve"> 增加</w:t>
      </w:r>
      <w:r>
        <w:rPr>
          <w:rFonts w:hint="eastAsia" w:ascii="仿宋_GB2312" w:hAnsi="仿宋_GB2312" w:eastAsia="仿宋_GB2312" w:cs="仿宋_GB2312"/>
          <w:sz w:val="30"/>
          <w:szCs w:val="30"/>
          <w:lang w:val="en-US" w:eastAsia="zh-CN"/>
        </w:rPr>
        <w:t>0</w:t>
      </w:r>
      <w:r>
        <w:rPr>
          <w:rFonts w:ascii="仿宋_GB2312" w:hAnsi="仿宋_GB2312" w:eastAsia="仿宋_GB2312" w:cs="仿宋_GB2312"/>
          <w:sz w:val="30"/>
          <w:szCs w:val="30"/>
        </w:rPr>
        <w:t xml:space="preserve"> </w:t>
      </w:r>
      <w:bookmarkEnd w:id="6"/>
      <w:r>
        <w:rPr>
          <w:rFonts w:hint="eastAsia" w:ascii="仿宋_GB2312" w:hAnsi="仿宋_GB2312" w:eastAsia="仿宋_GB2312" w:cs="仿宋_GB2312"/>
          <w:sz w:val="30"/>
          <w:szCs w:val="30"/>
        </w:rPr>
        <w:t>万元，</w:t>
      </w:r>
      <w:bookmarkStart w:id="7" w:name="PO_part3A2IncPercent2"/>
      <w:r>
        <w:rPr>
          <w:rFonts w:hint="eastAsia" w:ascii="仿宋_GB2312" w:hAnsi="仿宋_GB2312" w:eastAsia="仿宋_GB2312" w:cs="仿宋_GB2312"/>
          <w:sz w:val="30"/>
          <w:szCs w:val="30"/>
        </w:rPr>
        <w:t xml:space="preserve"> 增长</w:t>
      </w:r>
      <w:r>
        <w:rPr>
          <w:rFonts w:hint="eastAsia" w:ascii="仿宋_GB2312" w:hAnsi="仿宋_GB2312" w:eastAsia="仿宋_GB2312" w:cs="仿宋_GB2312"/>
          <w:sz w:val="30"/>
          <w:szCs w:val="30"/>
          <w:lang w:val="en-US" w:eastAsia="zh-CN"/>
        </w:rPr>
        <w:t>0</w:t>
      </w:r>
      <w:r>
        <w:rPr>
          <w:rFonts w:ascii="仿宋_GB2312" w:hAnsi="仿宋_GB2312" w:eastAsia="仿宋_GB2312" w:cs="仿宋_GB2312"/>
          <w:sz w:val="30"/>
          <w:szCs w:val="30"/>
        </w:rPr>
        <w:t xml:space="preserve"> </w:t>
      </w:r>
      <w:bookmarkEnd w:id="7"/>
      <w:r>
        <w:rPr>
          <w:rFonts w:hint="eastAsia" w:ascii="仿宋_GB2312" w:hAnsi="仿宋_GB2312" w:eastAsia="仿宋_GB2312" w:cs="仿宋_GB2312"/>
          <w:sz w:val="30"/>
          <w:szCs w:val="30"/>
        </w:rPr>
        <w:t>%，主要原因是</w:t>
      </w:r>
      <w:bookmarkStart w:id="8" w:name="PO_part3A2IncReason2"/>
      <w:r>
        <w:rPr>
          <w:rFonts w:hint="eastAsia" w:ascii="仿宋_GB2312" w:hAnsi="仿宋_GB2312" w:eastAsia="仿宋_GB2312" w:cs="仿宋_GB2312"/>
          <w:sz w:val="30"/>
          <w:szCs w:val="30"/>
        </w:rPr>
        <w:t xml:space="preserve"> 与上年持平，无增减变化 </w:t>
      </w:r>
      <w:bookmarkEnd w:id="8"/>
      <w:r>
        <w:rPr>
          <w:rFonts w:hint="eastAsia" w:ascii="仿宋_GB2312" w:hAnsi="仿宋_GB2312" w:eastAsia="仿宋_GB2312" w:cs="仿宋_GB2312"/>
          <w:sz w:val="30"/>
          <w:szCs w:val="30"/>
        </w:rPr>
        <w:t>；公务用车购置及运行费</w:t>
      </w:r>
      <w:bookmarkStart w:id="9" w:name="PO_part3A2Amount3"/>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6.27</w:t>
      </w:r>
      <w:r>
        <w:rPr>
          <w:rFonts w:ascii="仿宋_GB2312" w:hAnsi="仿宋_GB2312" w:eastAsia="仿宋_GB2312" w:cs="仿宋_GB2312"/>
          <w:sz w:val="30"/>
          <w:szCs w:val="30"/>
        </w:rPr>
        <w:t xml:space="preserve"> </w:t>
      </w:r>
      <w:bookmarkEnd w:id="9"/>
      <w:r>
        <w:rPr>
          <w:rFonts w:hint="eastAsia" w:ascii="仿宋_GB2312" w:hAnsi="仿宋_GB2312" w:eastAsia="仿宋_GB2312" w:cs="仿宋_GB2312"/>
          <w:sz w:val="30"/>
          <w:szCs w:val="30"/>
        </w:rPr>
        <w:t>万元（公务用车购置费</w:t>
      </w:r>
      <w:bookmarkStart w:id="10" w:name="PO_part3A2Amount4"/>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0</w:t>
      </w:r>
      <w:r>
        <w:rPr>
          <w:rFonts w:ascii="仿宋_GB2312" w:hAnsi="仿宋_GB2312" w:eastAsia="仿宋_GB2312" w:cs="仿宋_GB2312"/>
          <w:sz w:val="30"/>
          <w:szCs w:val="30"/>
        </w:rPr>
        <w:t xml:space="preserve"> </w:t>
      </w:r>
      <w:bookmarkEnd w:id="10"/>
      <w:r>
        <w:rPr>
          <w:rFonts w:hint="eastAsia" w:ascii="仿宋_GB2312" w:hAnsi="仿宋_GB2312" w:eastAsia="仿宋_GB2312" w:cs="仿宋_GB2312"/>
          <w:sz w:val="30"/>
          <w:szCs w:val="30"/>
        </w:rPr>
        <w:t>万元，公务用车运行维护费</w:t>
      </w:r>
      <w:bookmarkStart w:id="11" w:name="PO_part3A2Amount5"/>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6.27</w:t>
      </w:r>
      <w:r>
        <w:rPr>
          <w:rFonts w:ascii="仿宋_GB2312" w:hAnsi="仿宋_GB2312" w:eastAsia="仿宋_GB2312" w:cs="仿宋_GB2312"/>
          <w:sz w:val="30"/>
          <w:szCs w:val="30"/>
        </w:rPr>
        <w:t xml:space="preserve"> </w:t>
      </w:r>
      <w:bookmarkEnd w:id="11"/>
      <w:r>
        <w:rPr>
          <w:rFonts w:hint="eastAsia" w:ascii="仿宋_GB2312" w:hAnsi="仿宋_GB2312" w:eastAsia="仿宋_GB2312" w:cs="仿宋_GB2312"/>
          <w:sz w:val="30"/>
          <w:szCs w:val="30"/>
        </w:rPr>
        <w:t>万元），比上年</w:t>
      </w:r>
      <w:bookmarkStart w:id="12" w:name="PO_part3A2IncAmount3"/>
      <w:r>
        <w:rPr>
          <w:rFonts w:hint="eastAsia" w:ascii="仿宋_GB2312" w:hAnsi="仿宋_GB2312" w:eastAsia="仿宋_GB2312" w:cs="仿宋_GB2312"/>
          <w:sz w:val="30"/>
          <w:szCs w:val="30"/>
        </w:rPr>
        <w:t xml:space="preserve"> 减少</w:t>
      </w:r>
      <w:r>
        <w:rPr>
          <w:rFonts w:hint="eastAsia" w:ascii="仿宋_GB2312" w:hAnsi="仿宋_GB2312" w:eastAsia="仿宋_GB2312" w:cs="仿宋_GB2312"/>
          <w:sz w:val="30"/>
          <w:szCs w:val="30"/>
          <w:lang w:val="en-US" w:eastAsia="zh-CN"/>
        </w:rPr>
        <w:t>0.33</w:t>
      </w:r>
      <w:r>
        <w:rPr>
          <w:rFonts w:ascii="仿宋_GB2312" w:hAnsi="仿宋_GB2312" w:eastAsia="仿宋_GB2312" w:cs="仿宋_GB2312"/>
          <w:sz w:val="30"/>
          <w:szCs w:val="30"/>
        </w:rPr>
        <w:t xml:space="preserve"> </w:t>
      </w:r>
      <w:bookmarkEnd w:id="12"/>
      <w:r>
        <w:rPr>
          <w:rFonts w:hint="eastAsia" w:ascii="仿宋_GB2312" w:hAnsi="仿宋_GB2312" w:eastAsia="仿宋_GB2312" w:cs="仿宋_GB2312"/>
          <w:sz w:val="30"/>
          <w:szCs w:val="30"/>
        </w:rPr>
        <w:t>万元，</w:t>
      </w:r>
      <w:bookmarkStart w:id="13" w:name="PO_part3A2IncPercent3"/>
      <w:r>
        <w:rPr>
          <w:rFonts w:hint="eastAsia" w:ascii="仿宋_GB2312" w:hAnsi="仿宋_GB2312" w:eastAsia="仿宋_GB2312" w:cs="仿宋_GB2312"/>
          <w:sz w:val="30"/>
          <w:szCs w:val="30"/>
        </w:rPr>
        <w:t xml:space="preserve"> 下降</w:t>
      </w:r>
      <w:r>
        <w:rPr>
          <w:rFonts w:hint="eastAsia" w:ascii="仿宋_GB2312" w:hAnsi="仿宋_GB2312" w:eastAsia="仿宋_GB2312" w:cs="仿宋_GB2312"/>
          <w:sz w:val="30"/>
          <w:szCs w:val="30"/>
          <w:lang w:val="en-US" w:eastAsia="zh-CN"/>
        </w:rPr>
        <w:t>5</w:t>
      </w:r>
      <w:r>
        <w:rPr>
          <w:rFonts w:ascii="仿宋_GB2312" w:hAnsi="仿宋_GB2312" w:eastAsia="仿宋_GB2312" w:cs="仿宋_GB2312"/>
          <w:sz w:val="30"/>
          <w:szCs w:val="30"/>
        </w:rPr>
        <w:t xml:space="preserve"> </w:t>
      </w:r>
      <w:bookmarkEnd w:id="13"/>
      <w:r>
        <w:rPr>
          <w:rFonts w:hint="eastAsia" w:ascii="仿宋_GB2312" w:hAnsi="仿宋_GB2312" w:eastAsia="仿宋_GB2312" w:cs="仿宋_GB2312"/>
          <w:sz w:val="30"/>
          <w:szCs w:val="30"/>
        </w:rPr>
        <w:t>%，主要原因是</w:t>
      </w:r>
      <w:bookmarkStart w:id="14" w:name="PO_part3A2IncReason3"/>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eastAsia="zh-CN"/>
        </w:rPr>
        <w:t>严格按照公车管理规定用车，适当降低公车运维成本</w:t>
      </w:r>
      <w:r>
        <w:rPr>
          <w:rFonts w:hint="eastAsia" w:ascii="仿宋_GB2312" w:hAnsi="仿宋_GB2312" w:eastAsia="仿宋_GB2312" w:cs="仿宋_GB2312"/>
          <w:sz w:val="30"/>
          <w:szCs w:val="30"/>
        </w:rPr>
        <w:t xml:space="preserve"> </w:t>
      </w:r>
      <w:bookmarkEnd w:id="14"/>
      <w:r>
        <w:rPr>
          <w:rFonts w:hint="eastAsia" w:ascii="仿宋_GB2312" w:hAnsi="仿宋_GB2312" w:eastAsia="仿宋_GB2312" w:cs="仿宋_GB2312"/>
          <w:sz w:val="30"/>
          <w:szCs w:val="30"/>
        </w:rPr>
        <w:t>；公务接待费</w:t>
      </w:r>
      <w:bookmarkStart w:id="15" w:name="PO_part3A2Amount6"/>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2.85</w:t>
      </w:r>
      <w:r>
        <w:rPr>
          <w:rFonts w:ascii="仿宋_GB2312" w:hAnsi="仿宋_GB2312" w:eastAsia="仿宋_GB2312" w:cs="仿宋_GB2312"/>
          <w:sz w:val="30"/>
          <w:szCs w:val="30"/>
        </w:rPr>
        <w:t xml:space="preserve"> </w:t>
      </w:r>
      <w:bookmarkEnd w:id="15"/>
      <w:r>
        <w:rPr>
          <w:rFonts w:hint="eastAsia" w:ascii="仿宋_GB2312" w:hAnsi="仿宋_GB2312" w:eastAsia="仿宋_GB2312" w:cs="仿宋_GB2312"/>
          <w:sz w:val="30"/>
          <w:szCs w:val="30"/>
        </w:rPr>
        <w:t>万元，比上年</w:t>
      </w:r>
      <w:bookmarkStart w:id="16" w:name="PO_part3A2IncAmount4"/>
      <w:r>
        <w:rPr>
          <w:rFonts w:hint="eastAsia" w:ascii="仿宋_GB2312" w:hAnsi="仿宋_GB2312" w:eastAsia="仿宋_GB2312" w:cs="仿宋_GB2312"/>
          <w:sz w:val="30"/>
          <w:szCs w:val="30"/>
        </w:rPr>
        <w:t xml:space="preserve"> 减少</w:t>
      </w:r>
      <w:r>
        <w:rPr>
          <w:rFonts w:hint="eastAsia" w:ascii="仿宋_GB2312" w:hAnsi="仿宋_GB2312" w:eastAsia="仿宋_GB2312" w:cs="仿宋_GB2312"/>
          <w:sz w:val="30"/>
          <w:szCs w:val="30"/>
          <w:lang w:val="en-US" w:eastAsia="zh-CN"/>
        </w:rPr>
        <w:t>7.15</w:t>
      </w:r>
      <w:r>
        <w:rPr>
          <w:rFonts w:ascii="仿宋_GB2312" w:hAnsi="仿宋_GB2312" w:eastAsia="仿宋_GB2312" w:cs="仿宋_GB2312"/>
          <w:sz w:val="30"/>
          <w:szCs w:val="30"/>
        </w:rPr>
        <w:t xml:space="preserve"> </w:t>
      </w:r>
      <w:bookmarkEnd w:id="16"/>
      <w:r>
        <w:rPr>
          <w:rFonts w:hint="eastAsia" w:ascii="仿宋_GB2312" w:hAnsi="仿宋_GB2312" w:eastAsia="仿宋_GB2312" w:cs="仿宋_GB2312"/>
          <w:sz w:val="30"/>
          <w:szCs w:val="30"/>
        </w:rPr>
        <w:t>万元，</w:t>
      </w:r>
      <w:bookmarkStart w:id="17" w:name="PO_part3A2IncPercent4"/>
      <w:r>
        <w:rPr>
          <w:rFonts w:hint="eastAsia" w:ascii="仿宋_GB2312" w:hAnsi="仿宋_GB2312" w:eastAsia="仿宋_GB2312" w:cs="仿宋_GB2312"/>
          <w:sz w:val="30"/>
          <w:szCs w:val="30"/>
        </w:rPr>
        <w:t xml:space="preserve"> 下降</w:t>
      </w:r>
      <w:r>
        <w:rPr>
          <w:rFonts w:hint="eastAsia" w:ascii="仿宋_GB2312" w:hAnsi="仿宋_GB2312" w:eastAsia="仿宋_GB2312" w:cs="仿宋_GB2312"/>
          <w:sz w:val="30"/>
          <w:szCs w:val="30"/>
          <w:lang w:val="en-US" w:eastAsia="zh-CN"/>
        </w:rPr>
        <w:t>72</w:t>
      </w:r>
      <w:r>
        <w:rPr>
          <w:rFonts w:ascii="仿宋_GB2312" w:hAnsi="仿宋_GB2312" w:eastAsia="仿宋_GB2312" w:cs="仿宋_GB2312"/>
          <w:sz w:val="30"/>
          <w:szCs w:val="30"/>
        </w:rPr>
        <w:t xml:space="preserve"> </w:t>
      </w:r>
      <w:bookmarkEnd w:id="17"/>
      <w:r>
        <w:rPr>
          <w:rFonts w:hint="eastAsia" w:ascii="仿宋_GB2312" w:hAnsi="仿宋_GB2312" w:eastAsia="仿宋_GB2312" w:cs="仿宋_GB2312"/>
          <w:sz w:val="30"/>
          <w:szCs w:val="30"/>
        </w:rPr>
        <w:t>%，主要原因是</w:t>
      </w:r>
      <w:bookmarkStart w:id="18" w:name="PO_part3A2IncReason4"/>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2018年度公务接待费中包括我校从财政返还非税收入中用于培训业务接待费用部分</w:t>
      </w:r>
      <w:r>
        <w:rPr>
          <w:rFonts w:hint="eastAsia" w:ascii="仿宋_GB2312" w:hAnsi="仿宋_GB2312" w:eastAsia="仿宋_GB2312" w:cs="仿宋_GB2312"/>
          <w:sz w:val="30"/>
          <w:szCs w:val="30"/>
          <w:lang w:eastAsia="zh-CN"/>
        </w:rPr>
        <w:t>，而</w:t>
      </w:r>
      <w:r>
        <w:rPr>
          <w:rFonts w:hint="eastAsia" w:ascii="仿宋_GB2312" w:hAnsi="仿宋_GB2312" w:eastAsia="仿宋_GB2312" w:cs="仿宋_GB2312"/>
          <w:sz w:val="30"/>
          <w:szCs w:val="30"/>
          <w:lang w:val="en-US" w:eastAsia="zh-CN"/>
        </w:rPr>
        <w:t>2019年度起非税支出部分不再纳入财政拨款“三公”经费的公务接待费范畴，统一归入其他商品与服务支出中反映，因此造成本年度下降幅度较大</w:t>
      </w:r>
      <w:r>
        <w:rPr>
          <w:rFonts w:hint="eastAsia" w:ascii="仿宋_GB2312" w:hAnsi="仿宋_GB2312" w:eastAsia="仿宋_GB2312" w:cs="仿宋_GB2312"/>
          <w:sz w:val="30"/>
          <w:szCs w:val="30"/>
        </w:rPr>
        <w:t xml:space="preserve"> </w:t>
      </w:r>
      <w:bookmarkEnd w:id="18"/>
      <w:r>
        <w:rPr>
          <w:rFonts w:hint="eastAsia" w:ascii="仿宋_GB2312" w:hAnsi="仿宋_GB2312" w:eastAsia="仿宋_GB2312" w:cs="仿宋_GB2312"/>
          <w:sz w:val="30"/>
          <w:szCs w:val="30"/>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952044"/>
    <w:rsid w:val="6BDB794E"/>
    <w:rsid w:val="769520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2019-02-18T09:24:00Z</dcterms:created>
  <dc:creator>陈尤</dc:creator>
  <cp:lastModifiedBy>陈尤</cp:lastModifiedBy>
  <dcterms:modified xsi:type="dcterms:W3CDTF">2019-02-18T09:47:01Z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