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B3" w:rsidRPr="0054173F" w:rsidRDefault="00BB68B3" w:rsidP="00BB68B3">
      <w:pPr>
        <w:pStyle w:val="a3"/>
        <w:spacing w:after="240" w:afterAutospacing="0"/>
        <w:jc w:val="center"/>
        <w:rPr>
          <w:rFonts w:ascii="Arial" w:hAnsi="Arial" w:cs="Arial"/>
          <w:sz w:val="32"/>
          <w:szCs w:val="32"/>
        </w:rPr>
      </w:pPr>
      <w:r w:rsidRPr="0054173F">
        <w:rPr>
          <w:rFonts w:hint="eastAsia"/>
          <w:b/>
          <w:bCs/>
          <w:color w:val="185895"/>
          <w:sz w:val="32"/>
          <w:szCs w:val="32"/>
          <w:shd w:val="clear" w:color="auto" w:fill="FFFFFF"/>
        </w:rPr>
        <w:t>关于规范政府和社会资本合作（PPP）综合信息平台项目库管理的通知</w:t>
      </w:r>
    </w:p>
    <w:p w:rsidR="00BB68B3" w:rsidRDefault="00BB68B3" w:rsidP="00BB68B3">
      <w:pPr>
        <w:pStyle w:val="a3"/>
        <w:spacing w:after="240" w:afterAutospacing="0"/>
        <w:jc w:val="center"/>
        <w:rPr>
          <w:rFonts w:ascii="Arial" w:hAnsi="Arial" w:cs="Arial"/>
        </w:rPr>
      </w:pPr>
      <w:r>
        <w:rPr>
          <w:rFonts w:ascii="Arial" w:hAnsi="Arial" w:cs="Arial"/>
        </w:rPr>
        <w:t>财办金〔</w:t>
      </w:r>
      <w:r>
        <w:rPr>
          <w:rFonts w:ascii="Arial" w:hAnsi="Arial" w:cs="Arial"/>
        </w:rPr>
        <w:t>2017</w:t>
      </w:r>
      <w:r>
        <w:rPr>
          <w:rFonts w:ascii="Arial" w:hAnsi="Arial" w:cs="Arial"/>
        </w:rPr>
        <w:t>〕</w:t>
      </w:r>
      <w:r>
        <w:rPr>
          <w:rFonts w:ascii="Arial" w:hAnsi="Arial" w:cs="Arial"/>
        </w:rPr>
        <w:t>92</w:t>
      </w:r>
      <w:r>
        <w:rPr>
          <w:rFonts w:ascii="Arial" w:hAnsi="Arial" w:cs="Arial"/>
        </w:rPr>
        <w:t xml:space="preserve">号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各省、自治区、直辖市、计划单列市财政厅（局），新疆生产建设兵团财务局：</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为深入贯彻落实全国金融工作会议精神，进一步规范政府和社会资本合作（</w:t>
      </w:r>
      <w:r w:rsidRPr="0054173F">
        <w:rPr>
          <w:rFonts w:ascii="Arial" w:hAnsi="Arial" w:cs="Arial"/>
          <w:sz w:val="28"/>
          <w:szCs w:val="28"/>
        </w:rPr>
        <w:t>PPP</w:t>
      </w:r>
      <w:r w:rsidRPr="0054173F">
        <w:rPr>
          <w:rFonts w:ascii="Arial" w:hAnsi="Arial" w:cs="Arial"/>
          <w:sz w:val="28"/>
          <w:szCs w:val="28"/>
        </w:rPr>
        <w:t>）项目运作，防止</w:t>
      </w:r>
      <w:r w:rsidRPr="0054173F">
        <w:rPr>
          <w:rFonts w:ascii="Arial" w:hAnsi="Arial" w:cs="Arial"/>
          <w:sz w:val="28"/>
          <w:szCs w:val="28"/>
        </w:rPr>
        <w:t>PPP</w:t>
      </w:r>
      <w:r w:rsidRPr="0054173F">
        <w:rPr>
          <w:rFonts w:ascii="Arial" w:hAnsi="Arial" w:cs="Arial"/>
          <w:sz w:val="28"/>
          <w:szCs w:val="28"/>
        </w:rPr>
        <w:t>异化为新的融资平台，坚决遏制隐性债务风险增量，现将规范全国</w:t>
      </w:r>
      <w:r w:rsidRPr="0054173F">
        <w:rPr>
          <w:rFonts w:ascii="Arial" w:hAnsi="Arial" w:cs="Arial"/>
          <w:sz w:val="28"/>
          <w:szCs w:val="28"/>
        </w:rPr>
        <w:t>PPP</w:t>
      </w:r>
      <w:r w:rsidRPr="0054173F">
        <w:rPr>
          <w:rFonts w:ascii="Arial" w:hAnsi="Arial" w:cs="Arial"/>
          <w:sz w:val="28"/>
          <w:szCs w:val="28"/>
        </w:rPr>
        <w:t>综合信息平台项目库（以下简称</w:t>
      </w:r>
      <w:r w:rsidRPr="0054173F">
        <w:rPr>
          <w:rFonts w:ascii="Arial" w:hAnsi="Arial" w:cs="Arial"/>
          <w:sz w:val="28"/>
          <w:szCs w:val="28"/>
        </w:rPr>
        <w:t>“</w:t>
      </w:r>
      <w:r w:rsidRPr="0054173F">
        <w:rPr>
          <w:rFonts w:ascii="Arial" w:hAnsi="Arial" w:cs="Arial"/>
          <w:sz w:val="28"/>
          <w:szCs w:val="28"/>
        </w:rPr>
        <w:t>项目库</w:t>
      </w:r>
      <w:r w:rsidRPr="0054173F">
        <w:rPr>
          <w:rFonts w:ascii="Arial" w:hAnsi="Arial" w:cs="Arial"/>
          <w:sz w:val="28"/>
          <w:szCs w:val="28"/>
        </w:rPr>
        <w:t>”</w:t>
      </w:r>
      <w:r w:rsidRPr="0054173F">
        <w:rPr>
          <w:rFonts w:ascii="Arial" w:hAnsi="Arial" w:cs="Arial"/>
          <w:sz w:val="28"/>
          <w:szCs w:val="28"/>
        </w:rPr>
        <w:t>）管理有关事项通知如下：</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w:t>
      </w:r>
      <w:r w:rsidRPr="0054173F">
        <w:rPr>
          <w:rStyle w:val="a4"/>
          <w:rFonts w:ascii="Arial" w:hAnsi="Arial" w:cs="Arial"/>
          <w:sz w:val="28"/>
          <w:szCs w:val="28"/>
        </w:rPr>
        <w:t>一、总体要求</w:t>
      </w:r>
      <w:r w:rsidRPr="0054173F">
        <w:rPr>
          <w:rStyle w:val="a4"/>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（一）统一认识。各级财政部门要深刻认识当前规范项目库管理的重要意义，及时纠正</w:t>
      </w:r>
      <w:r w:rsidRPr="0054173F">
        <w:rPr>
          <w:rFonts w:ascii="Arial" w:hAnsi="Arial" w:cs="Arial"/>
          <w:sz w:val="28"/>
          <w:szCs w:val="28"/>
        </w:rPr>
        <w:t>PPP</w:t>
      </w:r>
      <w:r w:rsidRPr="0054173F">
        <w:rPr>
          <w:rFonts w:ascii="Arial" w:hAnsi="Arial" w:cs="Arial"/>
          <w:sz w:val="28"/>
          <w:szCs w:val="28"/>
        </w:rPr>
        <w:t>泛化滥用现象，进一步推进</w:t>
      </w:r>
      <w:r w:rsidRPr="0054173F">
        <w:rPr>
          <w:rFonts w:ascii="Arial" w:hAnsi="Arial" w:cs="Arial"/>
          <w:sz w:val="28"/>
          <w:szCs w:val="28"/>
        </w:rPr>
        <w:t>PPP</w:t>
      </w:r>
      <w:r w:rsidRPr="0054173F">
        <w:rPr>
          <w:rFonts w:ascii="Arial" w:hAnsi="Arial" w:cs="Arial"/>
          <w:sz w:val="28"/>
          <w:szCs w:val="28"/>
        </w:rPr>
        <w:t>规范发展，着力推动</w:t>
      </w:r>
      <w:r w:rsidRPr="0054173F">
        <w:rPr>
          <w:rFonts w:ascii="Arial" w:hAnsi="Arial" w:cs="Arial"/>
          <w:sz w:val="28"/>
          <w:szCs w:val="28"/>
        </w:rPr>
        <w:t>PPP</w:t>
      </w:r>
      <w:r w:rsidRPr="0054173F">
        <w:rPr>
          <w:rFonts w:ascii="Arial" w:hAnsi="Arial" w:cs="Arial"/>
          <w:sz w:val="28"/>
          <w:szCs w:val="28"/>
        </w:rPr>
        <w:t>回归公共服务创新供给机制的本源，促进实现公共服务提质增效目标，夯实</w:t>
      </w:r>
      <w:r w:rsidRPr="0054173F">
        <w:rPr>
          <w:rFonts w:ascii="Arial" w:hAnsi="Arial" w:cs="Arial"/>
          <w:sz w:val="28"/>
          <w:szCs w:val="28"/>
        </w:rPr>
        <w:t>PPP</w:t>
      </w:r>
      <w:r w:rsidRPr="0054173F">
        <w:rPr>
          <w:rFonts w:ascii="Arial" w:hAnsi="Arial" w:cs="Arial"/>
          <w:sz w:val="28"/>
          <w:szCs w:val="28"/>
        </w:rPr>
        <w:t>可持续发展的基础。</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二）分类施策。各级财政部门应按项目所处阶段将项目库分为项目储备清单和项目管理库，将处于识别阶段的项目，纳入项目储备清单，重点进行项目孵化和推介；将处于准备、采购、执行、移交阶段的项目，纳入项目管理库，按照</w:t>
      </w:r>
      <w:r w:rsidRPr="0054173F">
        <w:rPr>
          <w:rFonts w:ascii="Arial" w:hAnsi="Arial" w:cs="Arial"/>
          <w:sz w:val="28"/>
          <w:szCs w:val="28"/>
        </w:rPr>
        <w:t>PPP</w:t>
      </w:r>
      <w:r w:rsidRPr="0054173F">
        <w:rPr>
          <w:rFonts w:ascii="Arial" w:hAnsi="Arial" w:cs="Arial"/>
          <w:sz w:val="28"/>
          <w:szCs w:val="28"/>
        </w:rPr>
        <w:t>相关法律法规和制度要求，实施全生命周期管理，确保规范运作。</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lastRenderedPageBreak/>
        <w:t xml:space="preserve">　　（三）严格管理。各级财政部门应严格项目管理库入库标准和管理要求，建立健全专人负责、持续跟踪、动态调整的常态化管理机制，及时将条件不符合、操作不规范、信息不完善的项目清理出库，不断提高项目管理库信息质量和管理水平。</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w:t>
      </w:r>
      <w:r w:rsidRPr="0054173F">
        <w:rPr>
          <w:rStyle w:val="a4"/>
          <w:rFonts w:ascii="Arial" w:hAnsi="Arial" w:cs="Arial"/>
          <w:sz w:val="28"/>
          <w:szCs w:val="28"/>
        </w:rPr>
        <w:t>二、严格新项目入库标准</w:t>
      </w:r>
      <w:r w:rsidRPr="0054173F">
        <w:rPr>
          <w:rStyle w:val="a4"/>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各级财政部门应认真落实相关法律法规及政策要求，对新申请纳入项目管理库的项目进行严格把关，优先支持存量项目，审慎开展政府付费类项目，确保入库项目质量。存在下列情形之一的项目，不得入库：</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（一）不适宜采用</w:t>
      </w:r>
      <w:r w:rsidRPr="0054173F">
        <w:rPr>
          <w:rFonts w:ascii="Arial" w:hAnsi="Arial" w:cs="Arial"/>
          <w:sz w:val="28"/>
          <w:szCs w:val="28"/>
        </w:rPr>
        <w:t>PPP</w:t>
      </w:r>
      <w:r w:rsidRPr="0054173F">
        <w:rPr>
          <w:rFonts w:ascii="Arial" w:hAnsi="Arial" w:cs="Arial"/>
          <w:sz w:val="28"/>
          <w:szCs w:val="28"/>
        </w:rPr>
        <w:t>模式实施。包括不属于公共服务领域，政府不负有提供义务的，如商业地产开发、招商引资项目等；因涉及国家安全或重大公共利益等，不适宜由社会资本承担的；仅涉及工程建设，无运营内容的；其他不适宜采用</w:t>
      </w:r>
      <w:r w:rsidRPr="0054173F">
        <w:rPr>
          <w:rFonts w:ascii="Arial" w:hAnsi="Arial" w:cs="Arial"/>
          <w:sz w:val="28"/>
          <w:szCs w:val="28"/>
        </w:rPr>
        <w:t>PPP</w:t>
      </w:r>
      <w:r w:rsidRPr="0054173F">
        <w:rPr>
          <w:rFonts w:ascii="Arial" w:hAnsi="Arial" w:cs="Arial"/>
          <w:sz w:val="28"/>
          <w:szCs w:val="28"/>
        </w:rPr>
        <w:t>模式实施的情形。</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二）前期准备工作不到位。包括新建、改扩建项目未按规定履行相关立项审批手续的；涉及国有资产权益转移的存量项目未按规定履行相关国有资产审批、评估手续的；未通过物有所值评价和财政承受能力论证的。</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（三）未建立按效付费机制。包括通过政府付费或可行性缺口补助方式获得回报，但未建立与项目产出绩效相挂钩的付费机制的；政府付费或可行性缺口补助在项目合作期内未连续、平滑支付，导致某</w:t>
      </w:r>
      <w:r w:rsidRPr="0054173F">
        <w:rPr>
          <w:rFonts w:ascii="Arial" w:hAnsi="Arial" w:cs="Arial"/>
          <w:sz w:val="28"/>
          <w:szCs w:val="28"/>
        </w:rPr>
        <w:lastRenderedPageBreak/>
        <w:t>一时期内财政支出压力激增的；项目建设成本不参与绩效考核，或实际与绩效考核结果挂钩部分占比不足</w:t>
      </w:r>
      <w:r w:rsidRPr="0054173F">
        <w:rPr>
          <w:rFonts w:ascii="Arial" w:hAnsi="Arial" w:cs="Arial"/>
          <w:sz w:val="28"/>
          <w:szCs w:val="28"/>
        </w:rPr>
        <w:t>30%</w:t>
      </w:r>
      <w:r w:rsidRPr="0054173F">
        <w:rPr>
          <w:rFonts w:ascii="Arial" w:hAnsi="Arial" w:cs="Arial"/>
          <w:sz w:val="28"/>
          <w:szCs w:val="28"/>
        </w:rPr>
        <w:t>，固化政府支出责任的。</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w:t>
      </w:r>
      <w:r w:rsidRPr="0054173F">
        <w:rPr>
          <w:rStyle w:val="a4"/>
          <w:rFonts w:ascii="Arial" w:hAnsi="Arial" w:cs="Arial"/>
          <w:sz w:val="28"/>
          <w:szCs w:val="28"/>
        </w:rPr>
        <w:t>三、集中清理已入库项目</w:t>
      </w:r>
      <w:r w:rsidRPr="0054173F">
        <w:rPr>
          <w:rFonts w:ascii="Arial" w:hAnsi="Arial" w:cs="Arial"/>
          <w:sz w:val="28"/>
          <w:szCs w:val="28"/>
        </w:rPr>
        <w:t>                  </w:t>
      </w:r>
      <w:r w:rsidRPr="0054173F">
        <w:rPr>
          <w:rStyle w:val="apple-converted-space"/>
          <w:rFonts w:ascii="Arial" w:hAnsi="Arial" w:cs="Arial"/>
          <w:sz w:val="28"/>
          <w:szCs w:val="28"/>
        </w:rPr>
        <w:t> </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各级财政部门应组织开展项目管理库入库项目集中清理工作，全面核实项目信息及实施方案、物有所值评价报告、财政承受能力论证报告、采购文件、</w:t>
      </w:r>
      <w:r w:rsidRPr="0054173F">
        <w:rPr>
          <w:rFonts w:ascii="Arial" w:hAnsi="Arial" w:cs="Arial"/>
          <w:sz w:val="28"/>
          <w:szCs w:val="28"/>
        </w:rPr>
        <w:t>PPP</w:t>
      </w:r>
      <w:r w:rsidRPr="0054173F">
        <w:rPr>
          <w:rFonts w:ascii="Arial" w:hAnsi="Arial" w:cs="Arial"/>
          <w:sz w:val="28"/>
          <w:szCs w:val="28"/>
        </w:rPr>
        <w:t>项目合同等重要文件资料。属于上述第（一）、（二）项不得入库情形或存在下列情形之一的项目，应予以清退：</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（一）未按规定开展</w:t>
      </w:r>
      <w:r w:rsidRPr="0054173F">
        <w:rPr>
          <w:rFonts w:ascii="Arial" w:hAnsi="Arial" w:cs="Arial"/>
          <w:sz w:val="28"/>
          <w:szCs w:val="28"/>
        </w:rPr>
        <w:t>“</w:t>
      </w:r>
      <w:r w:rsidRPr="0054173F">
        <w:rPr>
          <w:rFonts w:ascii="Arial" w:hAnsi="Arial" w:cs="Arial"/>
          <w:sz w:val="28"/>
          <w:szCs w:val="28"/>
        </w:rPr>
        <w:t>两个论证</w:t>
      </w:r>
      <w:r w:rsidRPr="0054173F">
        <w:rPr>
          <w:rFonts w:ascii="Arial" w:hAnsi="Arial" w:cs="Arial"/>
          <w:sz w:val="28"/>
          <w:szCs w:val="28"/>
        </w:rPr>
        <w:t>”</w:t>
      </w:r>
      <w:r w:rsidRPr="0054173F">
        <w:rPr>
          <w:rFonts w:ascii="Arial" w:hAnsi="Arial" w:cs="Arial"/>
          <w:sz w:val="28"/>
          <w:szCs w:val="28"/>
        </w:rPr>
        <w:t>。包括已进入采购阶段但未开展物有所值评价或财政承受能力论证的（</w:t>
      </w:r>
      <w:r w:rsidRPr="0054173F">
        <w:rPr>
          <w:rFonts w:ascii="Arial" w:hAnsi="Arial" w:cs="Arial"/>
          <w:sz w:val="28"/>
          <w:szCs w:val="28"/>
        </w:rPr>
        <w:t>2015</w:t>
      </w:r>
      <w:r w:rsidRPr="0054173F">
        <w:rPr>
          <w:rFonts w:ascii="Arial" w:hAnsi="Arial" w:cs="Arial"/>
          <w:sz w:val="28"/>
          <w:szCs w:val="28"/>
        </w:rPr>
        <w:t>年</w:t>
      </w:r>
      <w:r w:rsidRPr="0054173F">
        <w:rPr>
          <w:rFonts w:ascii="Arial" w:hAnsi="Arial" w:cs="Arial"/>
          <w:sz w:val="28"/>
          <w:szCs w:val="28"/>
        </w:rPr>
        <w:t>4</w:t>
      </w:r>
      <w:r w:rsidRPr="0054173F">
        <w:rPr>
          <w:rFonts w:ascii="Arial" w:hAnsi="Arial" w:cs="Arial"/>
          <w:sz w:val="28"/>
          <w:szCs w:val="28"/>
        </w:rPr>
        <w:t>月</w:t>
      </w:r>
      <w:r w:rsidRPr="0054173F">
        <w:rPr>
          <w:rFonts w:ascii="Arial" w:hAnsi="Arial" w:cs="Arial"/>
          <w:sz w:val="28"/>
          <w:szCs w:val="28"/>
        </w:rPr>
        <w:t>7</w:t>
      </w:r>
      <w:r w:rsidRPr="0054173F">
        <w:rPr>
          <w:rFonts w:ascii="Arial" w:hAnsi="Arial" w:cs="Arial"/>
          <w:sz w:val="28"/>
          <w:szCs w:val="28"/>
        </w:rPr>
        <w:t>日前进入采购阶段但未开展财政承受能力论证以及</w:t>
      </w:r>
      <w:r w:rsidRPr="0054173F">
        <w:rPr>
          <w:rFonts w:ascii="Arial" w:hAnsi="Arial" w:cs="Arial"/>
          <w:sz w:val="28"/>
          <w:szCs w:val="28"/>
        </w:rPr>
        <w:t>2015</w:t>
      </w:r>
      <w:r w:rsidRPr="0054173F">
        <w:rPr>
          <w:rFonts w:ascii="Arial" w:hAnsi="Arial" w:cs="Arial"/>
          <w:sz w:val="28"/>
          <w:szCs w:val="28"/>
        </w:rPr>
        <w:t>年</w:t>
      </w:r>
      <w:r w:rsidRPr="0054173F">
        <w:rPr>
          <w:rFonts w:ascii="Arial" w:hAnsi="Arial" w:cs="Arial"/>
          <w:sz w:val="28"/>
          <w:szCs w:val="28"/>
        </w:rPr>
        <w:t>12</w:t>
      </w:r>
      <w:r w:rsidRPr="0054173F">
        <w:rPr>
          <w:rFonts w:ascii="Arial" w:hAnsi="Arial" w:cs="Arial"/>
          <w:sz w:val="28"/>
          <w:szCs w:val="28"/>
        </w:rPr>
        <w:t>月</w:t>
      </w:r>
      <w:r w:rsidRPr="0054173F">
        <w:rPr>
          <w:rFonts w:ascii="Arial" w:hAnsi="Arial" w:cs="Arial"/>
          <w:sz w:val="28"/>
          <w:szCs w:val="28"/>
        </w:rPr>
        <w:t>18</w:t>
      </w:r>
      <w:r w:rsidRPr="0054173F">
        <w:rPr>
          <w:rFonts w:ascii="Arial" w:hAnsi="Arial" w:cs="Arial"/>
          <w:sz w:val="28"/>
          <w:szCs w:val="28"/>
        </w:rPr>
        <w:t>日前进入采购阶段但未开展物有所值评价的项目除外）；虽已开展物有所值评价和财政承受能力论证，但评价方法和程序不符合规定的。</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（二）不宜继续采用</w:t>
      </w:r>
      <w:r w:rsidRPr="0054173F">
        <w:rPr>
          <w:rFonts w:ascii="Arial" w:hAnsi="Arial" w:cs="Arial"/>
          <w:sz w:val="28"/>
          <w:szCs w:val="28"/>
        </w:rPr>
        <w:t>PPP</w:t>
      </w:r>
      <w:r w:rsidRPr="0054173F">
        <w:rPr>
          <w:rFonts w:ascii="Arial" w:hAnsi="Arial" w:cs="Arial"/>
          <w:sz w:val="28"/>
          <w:szCs w:val="28"/>
        </w:rPr>
        <w:t>模式实施。包括入库之日起一年内无任何实质性进展的；尚未进入采购阶段但所属本级政府当前及以后年度财政承受能力已超过</w:t>
      </w:r>
      <w:r w:rsidRPr="0054173F">
        <w:rPr>
          <w:rFonts w:ascii="Arial" w:hAnsi="Arial" w:cs="Arial"/>
          <w:sz w:val="28"/>
          <w:szCs w:val="28"/>
        </w:rPr>
        <w:t>10%</w:t>
      </w:r>
      <w:r w:rsidRPr="0054173F">
        <w:rPr>
          <w:rFonts w:ascii="Arial" w:hAnsi="Arial" w:cs="Arial"/>
          <w:sz w:val="28"/>
          <w:szCs w:val="28"/>
        </w:rPr>
        <w:t>上限的；项目发起人或实施机构已书面确认不再采用</w:t>
      </w:r>
      <w:r w:rsidRPr="0054173F">
        <w:rPr>
          <w:rFonts w:ascii="Arial" w:hAnsi="Arial" w:cs="Arial"/>
          <w:sz w:val="28"/>
          <w:szCs w:val="28"/>
        </w:rPr>
        <w:t>PPP</w:t>
      </w:r>
      <w:r w:rsidRPr="0054173F">
        <w:rPr>
          <w:rFonts w:ascii="Arial" w:hAnsi="Arial" w:cs="Arial"/>
          <w:sz w:val="28"/>
          <w:szCs w:val="28"/>
        </w:rPr>
        <w:t>模式实施的。</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（三）不符合规范运作要求。包括未按规定转型的融资平台公司作为社会资本方的；采用建设</w:t>
      </w:r>
      <w:r w:rsidRPr="0054173F">
        <w:rPr>
          <w:rFonts w:ascii="Arial" w:hAnsi="Arial" w:cs="Arial"/>
          <w:sz w:val="28"/>
          <w:szCs w:val="28"/>
        </w:rPr>
        <w:t>-</w:t>
      </w:r>
      <w:r w:rsidRPr="0054173F">
        <w:rPr>
          <w:rFonts w:ascii="Arial" w:hAnsi="Arial" w:cs="Arial"/>
          <w:sz w:val="28"/>
          <w:szCs w:val="28"/>
        </w:rPr>
        <w:t>移交（</w:t>
      </w:r>
      <w:r w:rsidRPr="0054173F">
        <w:rPr>
          <w:rFonts w:ascii="Arial" w:hAnsi="Arial" w:cs="Arial"/>
          <w:sz w:val="28"/>
          <w:szCs w:val="28"/>
        </w:rPr>
        <w:t>BT</w:t>
      </w:r>
      <w:r w:rsidRPr="0054173F">
        <w:rPr>
          <w:rFonts w:ascii="Arial" w:hAnsi="Arial" w:cs="Arial"/>
          <w:sz w:val="28"/>
          <w:szCs w:val="28"/>
        </w:rPr>
        <w:t>）方式实施的；采购文件中设置歧视性条款、影响社会资本平等参与的；未按合同约定落实项目</w:t>
      </w:r>
      <w:r w:rsidRPr="0054173F">
        <w:rPr>
          <w:rFonts w:ascii="Arial" w:hAnsi="Arial" w:cs="Arial"/>
          <w:sz w:val="28"/>
          <w:szCs w:val="28"/>
        </w:rPr>
        <w:lastRenderedPageBreak/>
        <w:t>债权融资的；违反相关法律和政策规定，未按时足额缴纳项目资本金、以债务性资金充当资本金或由第三方代持社会资本方股份的。</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四）构成违法违规举债担保。包括由政府或政府指定机构回购社会资本投资本金或兜底本金损失的；政府向社会资本承诺固定收益回报的；政府及其部门为项目债务提供任何形式担保的；存在其他违法违规举债担保行为的。</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五）未按规定进行信息公开。包括违反国家有关法律法规，所公开信息与党的路线方针政策不一致或涉及国家秘密、商业秘密、个人隐私和知识产权，可能危及国家安全、公共安全、经济安全和社会稳定或损害公民、法人或其他组织合法权益的；未准确完整填写项目信息，入库之日起一年内未更新任何信息，或未及时充分披露项目实施方案、物有所值评价、财政承受能力论证、政府采购等关键信息的。</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w:t>
      </w:r>
      <w:r w:rsidRPr="0054173F">
        <w:rPr>
          <w:rStyle w:val="a4"/>
          <w:rFonts w:ascii="Arial" w:hAnsi="Arial" w:cs="Arial"/>
          <w:sz w:val="28"/>
          <w:szCs w:val="28"/>
        </w:rPr>
        <w:t xml:space="preserve">　四、组织实施</w:t>
      </w:r>
      <w:r w:rsidRPr="0054173F">
        <w:rPr>
          <w:rStyle w:val="a4"/>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（一）落实责任主体。各省级财政部门要切实履行项目库管理主体责任，统一部署辖内市、区、县财政部门开展集中清理工作。财政部政府和社会资本合作中心（以下称</w:t>
      </w:r>
      <w:r w:rsidRPr="0054173F">
        <w:rPr>
          <w:rFonts w:ascii="Arial" w:hAnsi="Arial" w:cs="Arial"/>
          <w:sz w:val="28"/>
          <w:szCs w:val="28"/>
        </w:rPr>
        <w:t>“</w:t>
      </w:r>
      <w:r w:rsidRPr="0054173F">
        <w:rPr>
          <w:rFonts w:ascii="Arial" w:hAnsi="Arial" w:cs="Arial"/>
          <w:sz w:val="28"/>
          <w:szCs w:val="28"/>
        </w:rPr>
        <w:t>财政部</w:t>
      </w:r>
      <w:r w:rsidRPr="0054173F">
        <w:rPr>
          <w:rFonts w:ascii="Arial" w:hAnsi="Arial" w:cs="Arial"/>
          <w:sz w:val="28"/>
          <w:szCs w:val="28"/>
        </w:rPr>
        <w:t>PPP</w:t>
      </w:r>
      <w:r w:rsidRPr="0054173F">
        <w:rPr>
          <w:rFonts w:ascii="Arial" w:hAnsi="Arial" w:cs="Arial"/>
          <w:sz w:val="28"/>
          <w:szCs w:val="28"/>
        </w:rPr>
        <w:t>中心</w:t>
      </w:r>
      <w:r w:rsidRPr="0054173F">
        <w:rPr>
          <w:rFonts w:ascii="Arial" w:hAnsi="Arial" w:cs="Arial"/>
          <w:sz w:val="28"/>
          <w:szCs w:val="28"/>
        </w:rPr>
        <w:t>”</w:t>
      </w:r>
      <w:r w:rsidRPr="0054173F">
        <w:rPr>
          <w:rFonts w:ascii="Arial" w:hAnsi="Arial" w:cs="Arial"/>
          <w:sz w:val="28"/>
          <w:szCs w:val="28"/>
        </w:rPr>
        <w:t>）负责开展财政部</w:t>
      </w:r>
      <w:r w:rsidRPr="0054173F">
        <w:rPr>
          <w:rFonts w:ascii="Arial" w:hAnsi="Arial" w:cs="Arial"/>
          <w:sz w:val="28"/>
          <w:szCs w:val="28"/>
        </w:rPr>
        <w:t>PPP</w:t>
      </w:r>
      <w:r w:rsidRPr="0054173F">
        <w:rPr>
          <w:rFonts w:ascii="Arial" w:hAnsi="Arial" w:cs="Arial"/>
          <w:sz w:val="28"/>
          <w:szCs w:val="28"/>
        </w:rPr>
        <w:t>示范项目的核查清理工作，并对各地项目管理库清理工作进行业务指导。</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（二）健全工作机制。各省级财政部门应成立集中清理专项工作组，制定工作方案，明确任务分工、工作要求和时间进度，落实专人</w:t>
      </w:r>
      <w:r w:rsidRPr="0054173F">
        <w:rPr>
          <w:rFonts w:ascii="Arial" w:hAnsi="Arial" w:cs="Arial"/>
          <w:sz w:val="28"/>
          <w:szCs w:val="28"/>
        </w:rPr>
        <w:lastRenderedPageBreak/>
        <w:t>负责，并可邀请专家参与。地方各级财政部门应当会同有关方面加强政策宣传和舆论引导，重要情况及时向财政部报告。</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（三）明确完成时限。各省级财政部门应于</w:t>
      </w:r>
      <w:r w:rsidRPr="0054173F">
        <w:rPr>
          <w:rFonts w:ascii="Arial" w:hAnsi="Arial" w:cs="Arial"/>
          <w:sz w:val="28"/>
          <w:szCs w:val="28"/>
        </w:rPr>
        <w:t>2018</w:t>
      </w:r>
      <w:r w:rsidRPr="0054173F">
        <w:rPr>
          <w:rFonts w:ascii="Arial" w:hAnsi="Arial" w:cs="Arial"/>
          <w:sz w:val="28"/>
          <w:szCs w:val="28"/>
        </w:rPr>
        <w:t>年</w:t>
      </w:r>
      <w:r w:rsidRPr="0054173F">
        <w:rPr>
          <w:rFonts w:ascii="Arial" w:hAnsi="Arial" w:cs="Arial"/>
          <w:sz w:val="28"/>
          <w:szCs w:val="28"/>
        </w:rPr>
        <w:t>3</w:t>
      </w:r>
      <w:r w:rsidRPr="0054173F">
        <w:rPr>
          <w:rFonts w:ascii="Arial" w:hAnsi="Arial" w:cs="Arial"/>
          <w:sz w:val="28"/>
          <w:szCs w:val="28"/>
        </w:rPr>
        <w:t>月</w:t>
      </w:r>
      <w:r w:rsidRPr="0054173F">
        <w:rPr>
          <w:rFonts w:ascii="Arial" w:hAnsi="Arial" w:cs="Arial"/>
          <w:sz w:val="28"/>
          <w:szCs w:val="28"/>
        </w:rPr>
        <w:t>31</w:t>
      </w:r>
      <w:r w:rsidRPr="0054173F">
        <w:rPr>
          <w:rFonts w:ascii="Arial" w:hAnsi="Arial" w:cs="Arial"/>
          <w:sz w:val="28"/>
          <w:szCs w:val="28"/>
        </w:rPr>
        <w:t>日前完成本地区项目管理库集中清理工作，并将清理工作完成情况报财政部金融司备案。</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xml:space="preserve">　　（四）确保整改到位。对于逾期未完成清理工作的地区，由财政部</w:t>
      </w:r>
      <w:r w:rsidRPr="0054173F">
        <w:rPr>
          <w:rFonts w:ascii="Arial" w:hAnsi="Arial" w:cs="Arial"/>
          <w:sz w:val="28"/>
          <w:szCs w:val="28"/>
        </w:rPr>
        <w:t>PPP</w:t>
      </w:r>
      <w:r w:rsidRPr="0054173F">
        <w:rPr>
          <w:rFonts w:ascii="Arial" w:hAnsi="Arial" w:cs="Arial"/>
          <w:sz w:val="28"/>
          <w:szCs w:val="28"/>
        </w:rPr>
        <w:t>中心指导并督促其于</w:t>
      </w:r>
      <w:r w:rsidRPr="0054173F">
        <w:rPr>
          <w:rFonts w:ascii="Arial" w:hAnsi="Arial" w:cs="Arial"/>
          <w:sz w:val="28"/>
          <w:szCs w:val="28"/>
        </w:rPr>
        <w:t>30</w:t>
      </w:r>
      <w:r w:rsidRPr="0054173F">
        <w:rPr>
          <w:rFonts w:ascii="Arial" w:hAnsi="Arial" w:cs="Arial"/>
          <w:sz w:val="28"/>
          <w:szCs w:val="28"/>
        </w:rPr>
        <w:t>日内完成整改。逾期未完成整改或整改不到位的，将暂停该地区新项目入库直至整改完成。</w:t>
      </w:r>
      <w:r w:rsidRPr="0054173F">
        <w:rPr>
          <w:rFonts w:ascii="Arial" w:hAnsi="Arial" w:cs="Arial"/>
          <w:sz w:val="28"/>
          <w:szCs w:val="28"/>
        </w:rPr>
        <w:t> </w:t>
      </w:r>
    </w:p>
    <w:p w:rsidR="00BB68B3" w:rsidRPr="0054173F" w:rsidRDefault="00BB68B3" w:rsidP="00BB68B3">
      <w:pPr>
        <w:pStyle w:val="a3"/>
        <w:spacing w:after="240" w:afterAutospacing="0"/>
        <w:rPr>
          <w:rFonts w:ascii="Arial" w:hAnsi="Arial" w:cs="Arial"/>
          <w:sz w:val="28"/>
          <w:szCs w:val="28"/>
        </w:rPr>
      </w:pPr>
      <w:r w:rsidRPr="0054173F">
        <w:rPr>
          <w:rFonts w:ascii="Arial" w:hAnsi="Arial" w:cs="Arial"/>
          <w:sz w:val="28"/>
          <w:szCs w:val="28"/>
        </w:rPr>
        <w:t> </w:t>
      </w:r>
    </w:p>
    <w:p w:rsidR="00BB68B3" w:rsidRPr="0054173F" w:rsidRDefault="00BB68B3" w:rsidP="00BB68B3">
      <w:pPr>
        <w:pStyle w:val="a3"/>
        <w:spacing w:after="240" w:afterAutospacing="0"/>
        <w:jc w:val="right"/>
        <w:rPr>
          <w:rFonts w:ascii="Arial" w:hAnsi="Arial" w:cs="Arial"/>
          <w:sz w:val="28"/>
          <w:szCs w:val="28"/>
        </w:rPr>
      </w:pPr>
      <w:r w:rsidRPr="0054173F">
        <w:rPr>
          <w:rFonts w:ascii="Arial" w:hAnsi="Arial" w:cs="Arial"/>
          <w:sz w:val="28"/>
          <w:szCs w:val="28"/>
        </w:rPr>
        <w:t xml:space="preserve">　　财政部办公厅</w:t>
      </w:r>
      <w:r w:rsidRPr="0054173F">
        <w:rPr>
          <w:rFonts w:ascii="Arial" w:hAnsi="Arial" w:cs="Arial"/>
          <w:sz w:val="28"/>
          <w:szCs w:val="28"/>
        </w:rPr>
        <w:t> </w:t>
      </w:r>
    </w:p>
    <w:p w:rsidR="00BB68B3" w:rsidRDefault="00BB68B3" w:rsidP="00BB68B3">
      <w:pPr>
        <w:pStyle w:val="a3"/>
        <w:spacing w:after="240" w:afterAutospacing="0"/>
        <w:jc w:val="right"/>
        <w:rPr>
          <w:rFonts w:ascii="Arial" w:hAnsi="Arial" w:cs="Arial"/>
        </w:rPr>
      </w:pPr>
      <w:r>
        <w:rPr>
          <w:rFonts w:ascii="Arial" w:hAnsi="Arial" w:cs="Arial"/>
        </w:rPr>
        <w:t xml:space="preserve">　　</w:t>
      </w:r>
      <w:r>
        <w:rPr>
          <w:rFonts w:ascii="Arial" w:hAnsi="Arial" w:cs="Arial"/>
        </w:rPr>
        <w:t>2017</w:t>
      </w:r>
      <w:r>
        <w:rPr>
          <w:rFonts w:ascii="Arial" w:hAnsi="Arial" w:cs="Arial"/>
        </w:rPr>
        <w:t>年</w:t>
      </w:r>
      <w:r>
        <w:rPr>
          <w:rFonts w:ascii="Arial" w:hAnsi="Arial" w:cs="Arial"/>
        </w:rPr>
        <w:t>11</w:t>
      </w:r>
      <w:r>
        <w:rPr>
          <w:rFonts w:ascii="Arial" w:hAnsi="Arial" w:cs="Arial"/>
        </w:rPr>
        <w:t>月</w:t>
      </w:r>
      <w:r>
        <w:rPr>
          <w:rFonts w:ascii="Arial" w:hAnsi="Arial" w:cs="Arial"/>
        </w:rPr>
        <w:t>10</w:t>
      </w:r>
      <w:r>
        <w:rPr>
          <w:rFonts w:ascii="Arial" w:hAnsi="Arial" w:cs="Arial"/>
        </w:rPr>
        <w:t>日</w:t>
      </w:r>
    </w:p>
    <w:p w:rsidR="00BB68B3" w:rsidRDefault="00BB68B3" w:rsidP="00BB68B3">
      <w:pPr>
        <w:pStyle w:val="a3"/>
        <w:spacing w:after="240" w:afterAutospacing="0"/>
        <w:rPr>
          <w:rFonts w:ascii="Arial" w:hAnsi="Arial" w:cs="Arial"/>
        </w:rPr>
      </w:pPr>
      <w:r>
        <w:rPr>
          <w:rFonts w:ascii="Arial" w:hAnsi="Arial" w:cs="Arial"/>
        </w:rPr>
        <w:t xml:space="preserve">　　</w:t>
      </w:r>
      <w:r>
        <w:rPr>
          <w:rFonts w:ascii="Arial" w:hAnsi="Arial" w:cs="Arial"/>
        </w:rPr>
        <w:t> </w:t>
      </w:r>
    </w:p>
    <w:p w:rsidR="006427CD" w:rsidRPr="00BB68B3" w:rsidRDefault="006427CD"/>
    <w:sectPr w:rsidR="006427CD" w:rsidRPr="00BB68B3" w:rsidSect="006427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0F7" w:rsidRDefault="007100F7" w:rsidP="0054173F">
      <w:r>
        <w:separator/>
      </w:r>
    </w:p>
  </w:endnote>
  <w:endnote w:type="continuationSeparator" w:id="0">
    <w:p w:rsidR="007100F7" w:rsidRDefault="007100F7" w:rsidP="005417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0F7" w:rsidRDefault="007100F7" w:rsidP="0054173F">
      <w:r>
        <w:separator/>
      </w:r>
    </w:p>
  </w:footnote>
  <w:footnote w:type="continuationSeparator" w:id="0">
    <w:p w:rsidR="007100F7" w:rsidRDefault="007100F7" w:rsidP="005417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8B3"/>
    <w:rsid w:val="0054173F"/>
    <w:rsid w:val="006427CD"/>
    <w:rsid w:val="007100F7"/>
    <w:rsid w:val="007A55CB"/>
    <w:rsid w:val="00BB6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8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68B3"/>
    <w:rPr>
      <w:b/>
      <w:bCs/>
    </w:rPr>
  </w:style>
  <w:style w:type="character" w:customStyle="1" w:styleId="apple-converted-space">
    <w:name w:val="apple-converted-space"/>
    <w:basedOn w:val="a0"/>
    <w:rsid w:val="00BB68B3"/>
  </w:style>
  <w:style w:type="paragraph" w:styleId="a5">
    <w:name w:val="header"/>
    <w:basedOn w:val="a"/>
    <w:link w:val="Char"/>
    <w:uiPriority w:val="99"/>
    <w:semiHidden/>
    <w:unhideWhenUsed/>
    <w:rsid w:val="00541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4173F"/>
    <w:rPr>
      <w:sz w:val="18"/>
      <w:szCs w:val="18"/>
    </w:rPr>
  </w:style>
  <w:style w:type="paragraph" w:styleId="a6">
    <w:name w:val="footer"/>
    <w:basedOn w:val="a"/>
    <w:link w:val="Char0"/>
    <w:uiPriority w:val="99"/>
    <w:semiHidden/>
    <w:unhideWhenUsed/>
    <w:rsid w:val="0054173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4173F"/>
    <w:rPr>
      <w:sz w:val="18"/>
      <w:szCs w:val="18"/>
    </w:rPr>
  </w:style>
</w:styles>
</file>

<file path=word/webSettings.xml><?xml version="1.0" encoding="utf-8"?>
<w:webSettings xmlns:r="http://schemas.openxmlformats.org/officeDocument/2006/relationships" xmlns:w="http://schemas.openxmlformats.org/wordprocessingml/2006/main">
  <w:divs>
    <w:div w:id="1280646084">
      <w:bodyDiv w:val="1"/>
      <w:marLeft w:val="0"/>
      <w:marRight w:val="0"/>
      <w:marTop w:val="0"/>
      <w:marBottom w:val="0"/>
      <w:divBdr>
        <w:top w:val="none" w:sz="0" w:space="0" w:color="auto"/>
        <w:left w:val="none" w:sz="0" w:space="0" w:color="auto"/>
        <w:bottom w:val="none" w:sz="0" w:space="0" w:color="auto"/>
        <w:right w:val="none" w:sz="0" w:space="0" w:color="auto"/>
      </w:divBdr>
      <w:divsChild>
        <w:div w:id="1006857709">
          <w:marLeft w:val="0"/>
          <w:marRight w:val="0"/>
          <w:marTop w:val="0"/>
          <w:marBottom w:val="0"/>
          <w:divBdr>
            <w:top w:val="none" w:sz="0" w:space="0" w:color="auto"/>
            <w:left w:val="none" w:sz="0" w:space="0" w:color="auto"/>
            <w:bottom w:val="none" w:sz="0" w:space="0" w:color="auto"/>
            <w:right w:val="none" w:sz="0" w:space="0" w:color="auto"/>
          </w:divBdr>
          <w:divsChild>
            <w:div w:id="1706100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周米拉</dc:creator>
  <cp:lastModifiedBy>周米拉</cp:lastModifiedBy>
  <cp:revision>2</cp:revision>
  <dcterms:created xsi:type="dcterms:W3CDTF">2017-11-20T02:02:00Z</dcterms:created>
  <dcterms:modified xsi:type="dcterms:W3CDTF">2017-11-30T05:35:00Z</dcterms:modified>
</cp:coreProperties>
</file>