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3" w:name="_GoBack"/>
      <w:bookmarkStart w:id="0" w:name="PO_title1"/>
      <w:bookmarkStart w:id="1" w:name="PO_part3A2Year1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湛江市人民政府行政服务中心</w:t>
      </w:r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　　　　　　“三公经费”支出说明</w:t>
      </w:r>
    </w:p>
    <w:bookmarkEnd w:id="3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　　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年本部门财政拨款安排“三公”经费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6.48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0.34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上年公务接待费和公车运行维护费用有所下降，根据上年决算数据调整经费安排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。其中：因公出国（境）费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 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与上年持平，无增减变化） ；公务用车购置及运行费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5.02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万元（公务用车购置费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万元，公务用车运行维护费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5.02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万元），比上年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0.26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严格执行公务用车制度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；公务接待费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1.46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 减少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0.08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 下降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%，主要原因是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严格执行公务接待管理规定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。</w:t>
      </w:r>
    </w:p>
    <w:bookmarkEnd w:id="1"/>
    <w:tbl>
      <w:tblPr>
        <w:tblStyle w:val="3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55"/>
        <w:gridCol w:w="1490"/>
        <w:gridCol w:w="1489"/>
        <w:gridCol w:w="1490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b/>
                <w:color w:val="000000"/>
                <w:sz w:val="24"/>
              </w:rPr>
            </w:pPr>
            <w:r>
              <w:rPr>
                <w:rFonts w:hint="eastAsia" w:ascii="SimSun" w:hAnsi="SimSun" w:cs="SimSun"/>
                <w:b/>
                <w:color w:val="000000"/>
                <w:kern w:val="0"/>
                <w:sz w:val="24"/>
                <w:lang w:bidi="ar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6345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单位名称：</w:t>
            </w:r>
            <w:bookmarkStart w:id="2" w:name="PO_part2Table8DivName1"/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eastAsia="zh-CN" w:bidi="ar"/>
              </w:rPr>
              <w:t>湛江市人民政府行政服务中心</w:t>
            </w: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bookmarkEnd w:id="2"/>
          </w:p>
        </w:tc>
        <w:tc>
          <w:tcPr>
            <w:tcW w:w="7828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项        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行政经费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SimSun" w:hAnsi="SimSun" w:eastAsia="SimSun" w:cs="SimSu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38.60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38.60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>“三公”经费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6.48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其中：（一）因公出国（境）支出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（二）公务用车购置及运行维护支出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      1.公务用车购置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      2.公务用车运行维护费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4855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SimSun" w:hAnsi="SimSun" w:cs="SimSun"/>
                <w:color w:val="000000"/>
                <w:sz w:val="18"/>
                <w:szCs w:val="18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 w:val="18"/>
                <w:szCs w:val="18"/>
                <w:lang w:bidi="ar"/>
              </w:rPr>
              <w:t xml:space="preserve">            （三）公务接待费支出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1489" w:type="dxa"/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eastAsia="SimSun"/>
                <w:lang w:val="en-US" w:eastAsia="zh-CN"/>
              </w:rPr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1490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49" w:type="dxa"/>
            <w:shd w:val="clear" w:color="auto" w:fill="FFFFFF"/>
            <w:noWrap w:val="0"/>
            <w:vAlign w:val="center"/>
          </w:tcPr>
          <w:p>
            <w:pPr>
              <w:jc w:val="right"/>
            </w:pPr>
            <w:r>
              <w:rPr>
                <w:rFonts w:hint="eastAsia" w:ascii="SimSun" w:hAnsi="SimSun" w:cs="SimSun"/>
                <w:color w:val="000000"/>
                <w:sz w:val="18"/>
                <w:szCs w:val="18"/>
              </w:rPr>
              <w:t>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icrosoft YaHe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C7C14"/>
    <w:rsid w:val="22D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2019-02-20T00:39:00Z</dcterms:created>
  <dc:creator>Administrator</dc:creator>
  <cp:lastModifiedBy>Administrator</cp:lastModifiedBy>
  <dcterms:modified xsi:type="dcterms:W3CDTF">2019-02-20T00:51:16Z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