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湛江市人民政府办公室</w:t>
      </w:r>
      <w:r>
        <w:rPr>
          <w:rFonts w:hint="eastAsia" w:ascii="仿宋_GB2312" w:hAnsi="仿宋_GB2312" w:eastAsia="仿宋_GB2312" w:cs="仿宋_GB2312"/>
          <w:sz w:val="44"/>
          <w:szCs w:val="44"/>
        </w:rPr>
        <w:t>“三公”经费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情况说明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年本部门财政拨款安排“三公”经费</w:t>
      </w:r>
      <w:bookmarkStart w:id="0" w:name="PO_part3A2Amount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1" w:name="PO_part3A2IncAmount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减少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2" w:name="PO_part3A2IncPercent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下降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3" w:name="PO_part3A2IncReason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统一反映在湛江市机关事务管理局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减少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下降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统一反映在湛江市机关事务管理局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28"/>
          <w:szCs w:val="28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28"/>
          <w:szCs w:val="28"/>
        </w:rPr>
        <w:t>万元，公务用车运行维护费</w:t>
      </w:r>
      <w:bookmarkStart w:id="10" w:name="PO_part3A2Amount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万元），比上年</w:t>
      </w:r>
      <w:bookmarkStart w:id="11" w:name="PO_part3A2IncAmount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减少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2" w:name="PO_part3A2IncPercent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下降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13" w:name="PO_part3A2IncReason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统一反映在湛江市机关事务管理局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28"/>
          <w:szCs w:val="28"/>
        </w:rPr>
        <w:t>；公务接待费</w:t>
      </w:r>
      <w:bookmarkStart w:id="14" w:name="PO_part3A2Amount6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15" w:name="PO_part3A2IncAmount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减少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6" w:name="PO_part3A2IncPercent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下降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17" w:name="PO_part3A2IncReason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统一反映在湛江市机关事务管理局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2F92"/>
    <w:rsid w:val="450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2019-02-19T08:07:00Z</dcterms:created>
  <dc:creator>Administrator</dc:creator>
  <cp:lastModifiedBy>Administrator</cp:lastModifiedBy>
  <dcterms:modified xsi:type="dcterms:W3CDTF">2019-02-19T08:10:27Z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