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eastAsia="黑体"/>
          <w:sz w:val="32"/>
          <w:lang w:val="en-US" w:eastAsia="zh-CN"/>
        </w:rPr>
      </w:pPr>
      <w:r>
        <w:rPr>
          <w:rFonts w:hint="eastAsia" w:ascii="黑体" w:eastAsia="黑体"/>
          <w:sz w:val="32"/>
        </w:rPr>
        <w:t>附件</w:t>
      </w:r>
      <w:r>
        <w:rPr>
          <w:rFonts w:hint="eastAsia" w:ascii="黑体" w:eastAsia="黑体"/>
          <w:sz w:val="32"/>
          <w:lang w:val="en-US" w:eastAsia="zh-CN"/>
        </w:rPr>
        <w:t>1</w:t>
      </w:r>
    </w:p>
    <w:p>
      <w:pPr>
        <w:spacing w:line="620" w:lineRule="exact"/>
        <w:jc w:val="center"/>
        <w:rPr>
          <w:rFonts w:hint="eastAsia" w:eastAsia="方正小标宋_GBK"/>
          <w:sz w:val="44"/>
          <w:szCs w:val="44"/>
        </w:rPr>
      </w:pPr>
      <w:r>
        <w:rPr>
          <w:rFonts w:hint="eastAsia" w:eastAsia="方正小标宋_GBK"/>
          <w:sz w:val="44"/>
          <w:szCs w:val="44"/>
        </w:rPr>
        <w:t>关于实施“百县千镇万村高质量发展工程”</w:t>
      </w:r>
    </w:p>
    <w:p>
      <w:pPr>
        <w:spacing w:line="620" w:lineRule="exact"/>
        <w:jc w:val="center"/>
        <w:rPr>
          <w:rFonts w:eastAsia="方正小标宋_GBK"/>
          <w:sz w:val="44"/>
          <w:szCs w:val="44"/>
        </w:rPr>
      </w:pPr>
      <w:r>
        <w:rPr>
          <w:rFonts w:hint="eastAsia" w:eastAsia="方正小标宋_GBK"/>
          <w:sz w:val="44"/>
          <w:szCs w:val="44"/>
        </w:rPr>
        <w:t>促进城乡区域协调发展若干财政支持政策</w:t>
      </w:r>
    </w:p>
    <w:p>
      <w:pPr>
        <w:spacing w:line="620" w:lineRule="exact"/>
        <w:jc w:val="center"/>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征求意见</w:t>
      </w:r>
      <w:r>
        <w:rPr>
          <w:rFonts w:hint="eastAsia" w:ascii="仿宋_GB2312" w:hAnsi="仿宋" w:eastAsia="仿宋_GB2312"/>
          <w:sz w:val="32"/>
          <w:szCs w:val="32"/>
        </w:rPr>
        <w:t>稿）</w:t>
      </w:r>
    </w:p>
    <w:p>
      <w:pPr>
        <w:spacing w:line="620" w:lineRule="exact"/>
        <w:jc w:val="center"/>
        <w:rPr>
          <w:rFonts w:ascii="仿宋_GB2312" w:hAnsi="仿宋" w:eastAsia="仿宋_GB2312"/>
          <w:sz w:val="32"/>
          <w:szCs w:val="32"/>
        </w:rPr>
      </w:pP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深入贯彻落实《中共湛江市委、湛江市人民政府印发&lt;关于湛江市全面推进“百县千镇万村高质量发展工程”促进城乡区域协调发展的实施意见&gt;的通知》（湛发〔2023〕5号），充分发挥财政职能作用，全力支持我市实施“百县千镇万村高质量发展工程”（以下简称“百千万工程”），在新起点上更好解决城乡区域发展不平衡不充分问题，推动湛江在高质量发展上走在前列，现制定如下财政政策。</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一、建立健全县级财力保障长效机制</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（一）持续强化对县级财力支持。</w:t>
      </w:r>
      <w:r>
        <w:rPr>
          <w:rFonts w:hint="eastAsia" w:ascii="仿宋_GB2312" w:hAnsi="仿宋" w:eastAsia="仿宋_GB2312"/>
          <w:sz w:val="32"/>
          <w:szCs w:val="32"/>
        </w:rPr>
        <w:t>稳步调整市以下收入划分，延续市级不集中县（市）收入和财力增量政策。完善均衡性转移支付和镇级基本财力保障机制奖补等政策，建立合理增长机制。加快推进市以下财政事权和支出责任划分改革，建立健全财政事权和支出责任划分动态调整机制。综合运用直达资金、“三保”资金专户管理机制，全面落实财政省直管县管理机制，将县级基本财力保障奖补资金全部直达县（市、区），增强基层财力保障能力。</w:t>
      </w:r>
    </w:p>
    <w:p>
      <w:pPr>
        <w:spacing w:line="620" w:lineRule="exact"/>
        <w:ind w:firstLine="643" w:firstLineChars="200"/>
        <w:rPr>
          <w:rFonts w:ascii="仿宋_GB2312" w:hAnsi="仿宋" w:eastAsia="仿宋_GB2312"/>
          <w:sz w:val="32"/>
          <w:szCs w:val="32"/>
        </w:rPr>
      </w:pPr>
      <w:r>
        <w:rPr>
          <w:rFonts w:hint="eastAsia" w:ascii="楷体_GB2312" w:hAnsi="楷体" w:eastAsia="楷体_GB2312" w:cs="楷体"/>
          <w:b/>
          <w:bCs/>
          <w:sz w:val="32"/>
          <w:szCs w:val="32"/>
        </w:rPr>
        <w:t>（二）稳步提高土地出让收入用于农业农村比例。</w:t>
      </w:r>
      <w:r>
        <w:rPr>
          <w:rFonts w:hint="eastAsia" w:ascii="仿宋_GB2312" w:hAnsi="仿宋_GB2312" w:eastAsia="仿宋_GB2312" w:cs="仿宋_GB2312"/>
          <w:sz w:val="32"/>
          <w:szCs w:val="32"/>
        </w:rPr>
        <w:t>严格落实中央及省关于提高土地出让收入用于农业农村比例的要求，</w:t>
      </w:r>
      <w:r>
        <w:rPr>
          <w:rFonts w:hint="eastAsia" w:ascii="仿宋_GB2312" w:hAnsi="仿宋" w:eastAsia="仿宋_GB2312"/>
          <w:sz w:val="32"/>
          <w:szCs w:val="32"/>
        </w:rPr>
        <w:t>强化土地出让收入对农业农村事业发展的支持，着力保障乡村振兴、粮食安全、海洋牧场、水利、农村公路养护和红树林之城建造等重点任务。到2025年，各县（市、区）土地出让收益用于农业农村的比例达到50%以上，同时土地出让收入用于农业农村的比例不低于8%。</w:t>
      </w:r>
    </w:p>
    <w:p>
      <w:pPr>
        <w:spacing w:line="620" w:lineRule="exact"/>
        <w:ind w:firstLine="560"/>
        <w:rPr>
          <w:rFonts w:ascii="仿宋_GB2312" w:hAnsi="仿宋" w:eastAsia="仿宋_GB2312"/>
          <w:sz w:val="32"/>
          <w:szCs w:val="32"/>
        </w:rPr>
      </w:pPr>
      <w:r>
        <w:rPr>
          <w:rFonts w:hint="eastAsia" w:ascii="楷体_GB2312" w:hAnsi="楷体" w:eastAsia="楷体_GB2312" w:cs="楷体"/>
          <w:b/>
          <w:bCs/>
          <w:sz w:val="32"/>
          <w:szCs w:val="32"/>
        </w:rPr>
        <w:t>（三）统筹新增债券支持县镇村建设。</w:t>
      </w:r>
      <w:r>
        <w:rPr>
          <w:rFonts w:hint="eastAsia" w:ascii="仿宋_GB2312" w:hAnsi="仿宋" w:eastAsia="仿宋_GB2312"/>
          <w:sz w:val="32"/>
          <w:szCs w:val="32"/>
        </w:rPr>
        <w:t>指导各县（市、区）及各市直部门积极谋划储备项目，扎实推进项目申报前期工作，提高项目储备质量，落实“项目等资金”。推动新增债券额度向县（市、区）倾斜，以保障县镇村建设。指导各县（市、区）及各市直部门统筹新增债券额度优先支持“百千万工程”相关项目。加强债券资金使用管理，提高资金使用效益。</w:t>
      </w:r>
    </w:p>
    <w:p>
      <w:pPr>
        <w:spacing w:line="620" w:lineRule="exact"/>
        <w:ind w:firstLine="643" w:firstLineChars="200"/>
        <w:rPr>
          <w:rFonts w:hint="eastAsia" w:ascii="仿宋_GB2312" w:hAnsi="仿宋_GB2312" w:eastAsia="仿宋_GB2312" w:cs="仿宋_GB2312"/>
          <w:sz w:val="32"/>
          <w:szCs w:val="32"/>
        </w:rPr>
      </w:pPr>
      <w:r>
        <w:rPr>
          <w:rFonts w:hint="eastAsia" w:ascii="楷体_GB2312" w:hAnsi="楷体" w:eastAsia="楷体_GB2312" w:cs="楷体"/>
          <w:b/>
          <w:bCs/>
          <w:sz w:val="32"/>
          <w:szCs w:val="32"/>
        </w:rPr>
        <w:t>（四）继续推动省级涉农资金统筹整合。</w:t>
      </w:r>
      <w:r>
        <w:rPr>
          <w:rFonts w:hint="eastAsia" w:ascii="仿宋_GB2312" w:hAnsi="仿宋_GB2312" w:eastAsia="仿宋_GB2312" w:cs="仿宋_GB2312"/>
          <w:sz w:val="32"/>
          <w:szCs w:val="32"/>
        </w:rPr>
        <w:t>指导各县（市、区）做好涉农项目谋划、申报、储备等工作，争取省级对湛江支持。完善省级涉农项目全流程管理，涉农资金优先保障“百千万工程”和乡村振兴等重点任务落实。严格遵守各项财经纪律，执行涉农资金管理有关规定，加强省级涉农资金支出管理，强化资金保障，提高省级涉农资金统筹整合效益。</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二、强化重点任务保障</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（五）支持发展壮大县域经济。</w:t>
      </w:r>
      <w:r>
        <w:rPr>
          <w:rFonts w:hint="eastAsia" w:ascii="仿宋_GB2312" w:hAnsi="仿宋" w:eastAsia="仿宋_GB2312" w:cs="Calibri"/>
          <w:sz w:val="32"/>
          <w:szCs w:val="32"/>
        </w:rPr>
        <w:t>用好新增债券支持县（市、区）产业园建设。</w:t>
      </w:r>
      <w:r>
        <w:rPr>
          <w:rFonts w:hint="eastAsia" w:ascii="仿宋_GB2312" w:hAnsi="仿宋" w:eastAsia="仿宋_GB2312"/>
          <w:sz w:val="32"/>
          <w:szCs w:val="32"/>
        </w:rPr>
        <w:t>首批注入产业用地收储周转资金2亿元，优先保障产业项目落地建设，破解县（市、区）产业用地收储资金不足问题。落实支持县域经济一揽子财政政策，支持提升我市产业承接能力，支持加快建设国家级海洋牧场示范区、现代化海洋牧场产业园及水产品精深加工产业园，落实预制菜产业发展扶持政策等。</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（六）支持提升县域承载能力。</w:t>
      </w:r>
      <w:r>
        <w:rPr>
          <w:rFonts w:hint="eastAsia" w:ascii="仿宋_GB2312" w:hAnsi="仿宋" w:eastAsia="仿宋_GB2312"/>
          <w:sz w:val="32"/>
          <w:szCs w:val="32"/>
        </w:rPr>
        <w:t>统筹各级城镇老旧小区改造补助资金支持开工改造一批县城老旧小区，支持加快推动县城公共服务、市政公用、环境基础及产业配合等设施建设，加快补齐县城基础设施短板。增强县城产业发展能力，有效吸纳农业转移人口，强化县城和中小城镇综合服务功能，促进城乡公共服务资源均衡配置，逐步建立城乡一体的基本公共服务体系，完善农业转移人口市民化配套政策和城镇基本公共服务保障。</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（七）支持强化乡镇联城带村功能。</w:t>
      </w:r>
      <w:r>
        <w:rPr>
          <w:rFonts w:hint="eastAsia" w:ascii="仿宋_GB2312" w:hAnsi="仿宋" w:eastAsia="仿宋_GB2312"/>
          <w:sz w:val="32"/>
          <w:szCs w:val="32"/>
        </w:rPr>
        <w:t>支持推动政务服务场所管理规范化、优化义务教育公共资源配置、优化医疗公共资源配置，支持打造完善的服务圈。统筹资金支持开展县域商业建设行动，建立完善县域统筹、以县城为中心、乡镇为重点、村为基础的农村商业体系，支持打造兴旺的商业圈。支持一刻钟便民生活圈建设，提升居民生活品质。统筹驻镇帮镇扶持资金支持开展圩镇人居环境品质提升行动，打造美丽镇圩。建强中心镇、专业镇、特色镇。</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（八）支持推进乡村产业振兴。</w:t>
      </w:r>
      <w:r>
        <w:rPr>
          <w:rFonts w:hint="eastAsia" w:ascii="仿宋_GB2312" w:hAnsi="仿宋" w:eastAsia="仿宋_GB2312"/>
          <w:sz w:val="32"/>
          <w:szCs w:val="32"/>
        </w:rPr>
        <w:t>将产业振兴作为乡村振兴的重中之重，统筹财政资金予以优先支持。严格落实粮食安全和耕地地力保护补贴相关政策，抓好各项惠民补贴资金足额精准发放；落实产粮大县专项激励政策，充分调动县级大抓粮食生产的积极性。统筹推进高标准农田建设、高效节水灌溉和农田水利建设，逐步把永久性基本农田全部建成高标准农田，持续推进大中型灌区续建配套及节水改造。综合运用财政奖补、贷款贴息、信贷担保等方式，大力扶持特色农业产业，</w:t>
      </w:r>
      <w:r>
        <w:rPr>
          <w:rFonts w:hint="eastAsia" w:ascii="仿宋_GB2312" w:hAnsi="仿宋_GB2312" w:eastAsia="仿宋_GB2312" w:cs="仿宋_GB2312"/>
          <w:kern w:val="0"/>
          <w:sz w:val="32"/>
          <w:szCs w:val="32"/>
          <w:lang w:bidi="ar"/>
        </w:rPr>
        <w:t>推动乡村产业高质量发展</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支持发展新型农村集体经济，</w:t>
      </w:r>
      <w:r>
        <w:rPr>
          <w:rFonts w:hint="eastAsia" w:ascii="仿宋_GB2312" w:hAnsi="仿宋" w:eastAsia="仿宋_GB2312"/>
          <w:sz w:val="32"/>
          <w:szCs w:val="32"/>
        </w:rPr>
        <w:t>加强县镇村农产品冷链物流网络建设，助推农产品上行，提高产品附加值。</w:t>
      </w:r>
    </w:p>
    <w:p>
      <w:pPr>
        <w:spacing w:line="620" w:lineRule="exact"/>
        <w:ind w:firstLine="643" w:firstLineChars="200"/>
        <w:rPr>
          <w:rFonts w:hint="eastAsia" w:ascii="仿宋_GB2312" w:hAnsi="仿宋" w:eastAsia="仿宋_GB2312"/>
          <w:sz w:val="32"/>
          <w:szCs w:val="32"/>
        </w:rPr>
      </w:pPr>
      <w:r>
        <w:rPr>
          <w:rFonts w:hint="eastAsia" w:ascii="楷体_GB2312" w:hAnsi="楷体" w:eastAsia="楷体_GB2312" w:cs="楷体"/>
          <w:b/>
          <w:bCs/>
          <w:sz w:val="32"/>
          <w:szCs w:val="32"/>
        </w:rPr>
        <w:t>（九）支持实施美丽乡村建设行动。</w:t>
      </w:r>
      <w:r>
        <w:rPr>
          <w:rFonts w:hint="eastAsia" w:ascii="仿宋_GB2312" w:hAnsi="仿宋" w:eastAsia="仿宋_GB2312"/>
          <w:sz w:val="32"/>
          <w:szCs w:val="32"/>
        </w:rPr>
        <w:t>统筹各级资金支持深入实施农村人居环境整治提升五年行动，健全乡村生活垃圾收运处置体系。统筹省级涉农资金及新增债券资金等，支持推进宜居宜业、美丽乡村建设和乡村振兴示范带建设等。统筹安排2</w:t>
      </w:r>
      <w:r>
        <w:rPr>
          <w:rFonts w:ascii="仿宋_GB2312" w:hAnsi="仿宋" w:eastAsia="仿宋_GB2312"/>
          <w:sz w:val="32"/>
          <w:szCs w:val="32"/>
        </w:rPr>
        <w:t>0%</w:t>
      </w:r>
      <w:r>
        <w:rPr>
          <w:rFonts w:hint="eastAsia" w:ascii="仿宋_GB2312" w:hAnsi="仿宋" w:eastAsia="仿宋_GB2312"/>
          <w:sz w:val="32"/>
          <w:szCs w:val="32"/>
        </w:rPr>
        <w:t>省级驻镇帮镇扶村资金支持农村生活污水治理率逐步提升。支持实施农村供水提质增效工作，加快“四好农村路”建设。</w:t>
      </w:r>
    </w:p>
    <w:p>
      <w:pPr>
        <w:spacing w:line="620" w:lineRule="exact"/>
        <w:ind w:firstLine="643" w:firstLineChars="200"/>
        <w:rPr>
          <w:rFonts w:hint="eastAsia" w:ascii="仿宋_GB2312" w:hAnsi="仿宋_GB2312" w:eastAsia="仿宋_GB2312" w:cs="仿宋_GB2312"/>
          <w:sz w:val="32"/>
          <w:szCs w:val="32"/>
        </w:rPr>
      </w:pPr>
      <w:r>
        <w:rPr>
          <w:rFonts w:hint="eastAsia" w:ascii="楷体_GB2312" w:hAnsi="楷体" w:eastAsia="楷体_GB2312" w:cs="楷体"/>
          <w:b/>
          <w:bCs/>
          <w:sz w:val="32"/>
          <w:szCs w:val="32"/>
        </w:rPr>
        <w:t>（十）支持加强和完善乡村治理。</w:t>
      </w:r>
      <w:r>
        <w:rPr>
          <w:rFonts w:hint="eastAsia" w:ascii="仿宋_GB2312" w:hAnsi="仿宋" w:eastAsia="仿宋_GB2312"/>
          <w:sz w:val="32"/>
          <w:szCs w:val="32"/>
        </w:rPr>
        <w:t>按照省委、市委关于基层党建的部署安排，落实村（社区）"两委"干部补贴经费、办公经费和党组织服务群众专项经费，健全党组织领导的自治、法治、德治相结合的乡村治理体系。支持乡镇（街道）矛盾纠纷“一站式”平台建设，推广应用“矛盾纠纷</w:t>
      </w:r>
      <w:r>
        <w:rPr>
          <w:rFonts w:hint="eastAsia" w:ascii="MS Mincho" w:hAnsi="MS Mincho" w:eastAsia="MS Mincho" w:cs="MS Mincho"/>
          <w:sz w:val="32"/>
          <w:szCs w:val="32"/>
        </w:rPr>
        <w:t>▪</w:t>
      </w:r>
      <w:r>
        <w:rPr>
          <w:rFonts w:hint="eastAsia" w:ascii="仿宋_GB2312" w:hAnsi="仿宋_GB2312" w:eastAsia="仿宋_GB2312" w:cs="仿宋_GB2312"/>
          <w:sz w:val="32"/>
          <w:szCs w:val="32"/>
        </w:rPr>
        <w:t>码上办”项目，推进平安乡村建设。</w:t>
      </w:r>
    </w:p>
    <w:p>
      <w:pPr>
        <w:spacing w:line="620" w:lineRule="exact"/>
        <w:ind w:firstLine="643" w:firstLineChars="200"/>
        <w:rPr>
          <w:rFonts w:ascii="仿宋_GB2312" w:hAnsi="仿宋" w:eastAsia="仿宋_GB2312"/>
          <w:sz w:val="32"/>
          <w:szCs w:val="32"/>
        </w:rPr>
      </w:pPr>
      <w:r>
        <w:rPr>
          <w:rFonts w:hint="eastAsia" w:ascii="楷体_GB2312" w:hAnsi="楷体" w:eastAsia="楷体_GB2312" w:cs="楷体"/>
          <w:b/>
          <w:bCs/>
          <w:sz w:val="32"/>
          <w:szCs w:val="32"/>
        </w:rPr>
        <w:t>（十一）支持加强县域基础设施建设。</w:t>
      </w:r>
      <w:r>
        <w:rPr>
          <w:rFonts w:hint="eastAsia" w:ascii="仿宋_GB2312" w:hAnsi="仿宋" w:eastAsia="仿宋_GB2312"/>
          <w:sz w:val="32"/>
          <w:szCs w:val="32"/>
        </w:rPr>
        <w:t>统筹财政资金，综合运用新增债券、引进社会资本等方式，完善县域交通基础设施建设，推动骨干交通网向县镇覆盖，加强农村公路养护和安全管理。推进环北部湾广东水资源配置工程湛江分干线项目建设，支持加快县域供水、防洪排涝等基础设施建设。支持加快能源基础设施建设和</w:t>
      </w:r>
      <w:r>
        <w:rPr>
          <w:rFonts w:hint="eastAsia" w:ascii="仿宋_GB2312" w:hAnsi="仿宋" w:eastAsia="仿宋_GB2312"/>
          <w:sz w:val="32"/>
          <w:szCs w:val="32"/>
          <w:lang w:val="en-US" w:eastAsia="zh-CN"/>
        </w:rPr>
        <w:t>信息</w:t>
      </w:r>
      <w:r>
        <w:rPr>
          <w:rFonts w:hint="eastAsia" w:ascii="仿宋_GB2312" w:hAnsi="仿宋" w:eastAsia="仿宋_GB2312"/>
          <w:sz w:val="32"/>
          <w:szCs w:val="32"/>
        </w:rPr>
        <w:t>基础设施建设。</w:t>
      </w:r>
    </w:p>
    <w:p>
      <w:pPr>
        <w:pStyle w:val="4"/>
        <w:ind w:left="0" w:leftChars="0" w:firstLine="643"/>
        <w:rPr>
          <w:rFonts w:ascii="仿宋_GB2312" w:hAnsi="仿宋"/>
          <w:szCs w:val="32"/>
        </w:rPr>
      </w:pPr>
      <w:r>
        <w:rPr>
          <w:rFonts w:hint="eastAsia" w:ascii="楷体_GB2312" w:hAnsi="楷体" w:eastAsia="楷体_GB2312" w:cs="楷体"/>
          <w:b/>
          <w:bCs/>
          <w:szCs w:val="32"/>
        </w:rPr>
        <w:t>（十二）支持打造绿美生态县域。</w:t>
      </w:r>
      <w:r>
        <w:rPr>
          <w:rFonts w:hint="eastAsia" w:ascii="仿宋_GB2312" w:hAnsi="仿宋"/>
          <w:szCs w:val="32"/>
        </w:rPr>
        <w:t>落实上级财政支持绿美广东生态建设若干政策，深入实施绿美湛江生态建设，加快推动“红树林之城”创建，支持“七大行动”在县域落实落地。加强重点领域生态环境保护的财政政策和资金统筹，支持打好污染防治攻坚战。支持健全生态产品价值实现机制，支持完善碳排放权等生态产品市场化交易体系，扎实推动县域绿色低碳高质量发展。</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（十三）支持推进基本公共服务均等化。</w:t>
      </w:r>
      <w:r>
        <w:rPr>
          <w:rFonts w:hint="eastAsia" w:ascii="仿宋_GB2312" w:hAnsi="仿宋" w:eastAsia="仿宋_GB2312"/>
          <w:sz w:val="32"/>
          <w:szCs w:val="32"/>
        </w:rPr>
        <w:t>保障落实基本公共服务标准，促进基本公共服务均等可及。优化县镇教育资源配置，持续缩小城乡、区域基础教育发展差距。推动县域医疗卫生资源均衡布局，加强城乡公共卫生服务体系建设。持续推动健全县镇村就业公共服务、社保经办公共服务体系，健全县镇村衔接的三级养老服务网络，稳步提升社保待遇水平，优化城乡低保特困人员社会救助等制度。支持推动县镇村三级公共文化建设。</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（十四）持续推进城乡综合改革。</w:t>
      </w:r>
      <w:r>
        <w:rPr>
          <w:rFonts w:hint="eastAsia" w:ascii="仿宋_GB2312" w:hAnsi="仿宋" w:eastAsia="仿宋_GB2312"/>
          <w:sz w:val="32"/>
          <w:szCs w:val="32"/>
        </w:rPr>
        <w:t>统筹各级资金支持推进农村综合改革，深入开展农村综合性改革试点试验、村级集体经济试点、红色美丽村庄建设试点等工作，以有效制度供给激活发展内生动力，加快推进农业农村现代化。</w:t>
      </w:r>
    </w:p>
    <w:p>
      <w:pPr>
        <w:spacing w:line="620" w:lineRule="exact"/>
        <w:ind w:firstLine="644"/>
        <w:rPr>
          <w:rFonts w:ascii="黑体" w:hAnsi="黑体" w:eastAsia="黑体" w:cs="黑体"/>
          <w:sz w:val="32"/>
          <w:szCs w:val="32"/>
        </w:rPr>
      </w:pPr>
      <w:r>
        <w:rPr>
          <w:rFonts w:hint="eastAsia" w:ascii="黑体" w:hAnsi="黑体" w:eastAsia="黑体" w:cs="黑体"/>
          <w:sz w:val="32"/>
          <w:szCs w:val="32"/>
        </w:rPr>
        <w:t>三、健全多元化投入机制</w:t>
      </w:r>
    </w:p>
    <w:p>
      <w:pPr>
        <w:spacing w:line="620" w:lineRule="exact"/>
        <w:ind w:firstLine="643" w:firstLineChars="200"/>
        <w:rPr>
          <w:rFonts w:ascii="仿宋_GB2312" w:hAnsi="仿宋" w:eastAsia="仿宋_GB2312"/>
          <w:sz w:val="32"/>
          <w:szCs w:val="32"/>
        </w:rPr>
      </w:pPr>
      <w:r>
        <w:rPr>
          <w:rFonts w:hint="eastAsia" w:ascii="楷体_GB2312" w:hAnsi="楷体" w:eastAsia="楷体_GB2312" w:cs="楷体"/>
          <w:b/>
          <w:bCs/>
          <w:sz w:val="32"/>
          <w:szCs w:val="32"/>
        </w:rPr>
        <w:t>（十五）完善资金资本要素保障机制。</w:t>
      </w:r>
      <w:r>
        <w:rPr>
          <w:rFonts w:hint="eastAsia" w:ascii="仿宋_GB2312" w:hAnsi="仿宋" w:eastAsia="仿宋_GB2312"/>
          <w:sz w:val="32"/>
          <w:szCs w:val="32"/>
        </w:rPr>
        <w:t>坚持把农业农村作为一般公共预算优先保障领域。充分发挥“百千万工程”要素保障专班作用</w:t>
      </w:r>
      <w:r>
        <w:rPr>
          <w:rFonts w:hint="eastAsia" w:ascii="宋体" w:hAnsi="宋体" w:cs="宋体"/>
          <w:color w:val="333333"/>
          <w:sz w:val="32"/>
          <w:szCs w:val="32"/>
          <w:shd w:val="clear" w:color="auto" w:fill="FFFFFF"/>
        </w:rPr>
        <w:t>，</w:t>
      </w:r>
      <w:r>
        <w:rPr>
          <w:rFonts w:hint="eastAsia" w:ascii="仿宋_GB2312" w:hAnsi="仿宋" w:eastAsia="仿宋_GB2312"/>
          <w:sz w:val="32"/>
          <w:szCs w:val="32"/>
        </w:rPr>
        <w:t>集聚调动各方资源力量，积极拓宽“三农”投入渠道，全力支持做好财政资金、国有资本、社会资金、捐赠资金等重点要素保障工作，确保要素资源投入保障力度不断加强。</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（十六）创新财政金融联动机制。</w:t>
      </w:r>
      <w:r>
        <w:rPr>
          <w:rFonts w:hAnsi="仿宋_GB2312" w:eastAsia="仿宋_GB2312"/>
          <w:sz w:val="32"/>
          <w:szCs w:val="32"/>
          <w:shd w:val="clear" w:color="auto" w:fill="FFFFFF"/>
        </w:rPr>
        <w:t>设立小微企业专项贷款风险补偿金，为小微企业和</w:t>
      </w:r>
      <w:r>
        <w:rPr>
          <w:rFonts w:eastAsia="仿宋_GB2312"/>
          <w:sz w:val="32"/>
          <w:szCs w:val="32"/>
          <w:shd w:val="clear" w:color="auto" w:fill="FFFFFF"/>
        </w:rPr>
        <w:t>“</w:t>
      </w:r>
      <w:r>
        <w:rPr>
          <w:rFonts w:hAnsi="仿宋_GB2312" w:eastAsia="仿宋_GB2312"/>
          <w:sz w:val="32"/>
          <w:szCs w:val="32"/>
          <w:shd w:val="clear" w:color="auto" w:fill="FFFFFF"/>
        </w:rPr>
        <w:t>三农</w:t>
      </w:r>
      <w:r>
        <w:rPr>
          <w:rFonts w:eastAsia="仿宋_GB2312"/>
          <w:sz w:val="32"/>
          <w:szCs w:val="32"/>
          <w:shd w:val="clear" w:color="auto" w:fill="FFFFFF"/>
        </w:rPr>
        <w:t>”</w:t>
      </w:r>
      <w:r>
        <w:rPr>
          <w:rFonts w:hAnsi="仿宋_GB2312" w:eastAsia="仿宋_GB2312"/>
          <w:sz w:val="32"/>
          <w:szCs w:val="32"/>
          <w:shd w:val="clear" w:color="auto" w:fill="FFFFFF"/>
        </w:rPr>
        <w:t>主体引入</w:t>
      </w:r>
      <w:r>
        <w:rPr>
          <w:rFonts w:eastAsia="仿宋_GB2312"/>
          <w:sz w:val="32"/>
          <w:szCs w:val="32"/>
          <w:shd w:val="clear" w:color="auto" w:fill="FFFFFF"/>
        </w:rPr>
        <w:t>“</w:t>
      </w:r>
      <w:r>
        <w:rPr>
          <w:rFonts w:hAnsi="仿宋_GB2312" w:eastAsia="仿宋_GB2312"/>
          <w:sz w:val="32"/>
          <w:szCs w:val="32"/>
          <w:shd w:val="clear" w:color="auto" w:fill="FFFFFF"/>
        </w:rPr>
        <w:t>金融活水</w:t>
      </w:r>
      <w:r>
        <w:rPr>
          <w:rFonts w:eastAsia="仿宋_GB2312"/>
          <w:sz w:val="32"/>
          <w:szCs w:val="32"/>
          <w:shd w:val="clear" w:color="auto" w:fill="FFFFFF"/>
        </w:rPr>
        <w:t>”</w:t>
      </w:r>
      <w:r>
        <w:rPr>
          <w:rFonts w:hint="eastAsia" w:eastAsia="仿宋_GB2312"/>
          <w:sz w:val="32"/>
          <w:szCs w:val="32"/>
          <w:shd w:val="clear" w:color="auto" w:fill="FFFFFF"/>
        </w:rPr>
        <w:t>。</w:t>
      </w:r>
      <w:r>
        <w:rPr>
          <w:rFonts w:hint="eastAsia" w:ascii="仿宋_GB2312" w:hAnsi="仿宋" w:eastAsia="仿宋_GB2312"/>
          <w:sz w:val="32"/>
          <w:szCs w:val="32"/>
        </w:rPr>
        <w:t>支持县（市、区）通过贴息、农业信贷担保、风险补偿资金池、应急转贷支持等方式，缓解中小微企业融资问题</w:t>
      </w:r>
      <w:r>
        <w:rPr>
          <w:rFonts w:ascii="仿宋_GB2312" w:hAnsi="仿宋" w:eastAsia="仿宋_GB2312"/>
          <w:sz w:val="32"/>
          <w:szCs w:val="32"/>
        </w:rPr>
        <w:t>，打通农村金融服务“最后一公里”。</w:t>
      </w:r>
      <w:r>
        <w:rPr>
          <w:rFonts w:hint="eastAsia" w:ascii="仿宋_GB2312" w:hAnsi="仿宋" w:eastAsia="仿宋_GB2312"/>
          <w:sz w:val="32"/>
          <w:szCs w:val="32"/>
        </w:rPr>
        <w:t>引导政策性基金将“百千万工程”作为投资的重点方向。在城镇基础设施建设领域推广R</w:t>
      </w:r>
      <w:r>
        <w:rPr>
          <w:rFonts w:ascii="仿宋_GB2312" w:hAnsi="仿宋" w:eastAsia="仿宋_GB2312"/>
          <w:sz w:val="32"/>
          <w:szCs w:val="32"/>
        </w:rPr>
        <w:t>EIT</w:t>
      </w:r>
      <w:r>
        <w:rPr>
          <w:rFonts w:hint="eastAsia" w:ascii="仿宋_GB2312" w:hAnsi="仿宋" w:eastAsia="仿宋_GB2312"/>
          <w:sz w:val="32"/>
          <w:szCs w:val="32"/>
        </w:rPr>
        <w:t>s试点工作，有效盘活存量资产。推动农业保险高质量发展，积极发挥政府性融资担保机构支农支小作用。</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（十七）积极争取中央、省政策和资金支持。</w:t>
      </w:r>
      <w:r>
        <w:rPr>
          <w:rFonts w:hint="eastAsia" w:ascii="仿宋_GB2312" w:hAnsi="仿宋" w:eastAsia="仿宋_GB2312"/>
          <w:sz w:val="32"/>
          <w:szCs w:val="32"/>
        </w:rPr>
        <w:t>鼓励引导县（市）谋划储备一批重点项目纳入国家和省“盘子”，全力做好与省级部门对接，争取中央和省财政资金、政策性开发性金融工具等支持。在符合支出方向的前提下，统筹用好中央、省转移支付增量资金，支持保障“百千万工程”重点任务。</w:t>
      </w:r>
    </w:p>
    <w:p>
      <w:pPr>
        <w:spacing w:line="620" w:lineRule="exact"/>
        <w:ind w:firstLine="644"/>
        <w:rPr>
          <w:rFonts w:ascii="仿宋_GB2312" w:hAnsi="仿宋" w:eastAsia="黑体"/>
          <w:sz w:val="32"/>
          <w:szCs w:val="32"/>
        </w:rPr>
      </w:pPr>
      <w:r>
        <w:rPr>
          <w:rFonts w:hint="eastAsia" w:ascii="黑体" w:hAnsi="黑体" w:eastAsia="黑体" w:cs="黑体"/>
          <w:sz w:val="32"/>
          <w:szCs w:val="32"/>
        </w:rPr>
        <w:t>四、强化资金监管和绩效管理</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（十八）建立财政支持政策全周期动态评估机制。</w:t>
      </w:r>
      <w:r>
        <w:rPr>
          <w:rFonts w:hint="eastAsia" w:ascii="仿宋_GB2312" w:hAnsi="仿宋" w:eastAsia="仿宋_GB2312"/>
          <w:sz w:val="32"/>
          <w:szCs w:val="32"/>
        </w:rPr>
        <w:t>持续开展调查研究，定期对财政支持政策进行动态评估，根据工作需要不断优化调整政策、不断完善体制机制，更好发挥财政职能作用，形成财政支持服务保障“百千万工程”长效机制。</w:t>
      </w:r>
    </w:p>
    <w:p>
      <w:pPr>
        <w:spacing w:line="620" w:lineRule="exact"/>
        <w:ind w:firstLine="644"/>
        <w:rPr>
          <w:rFonts w:ascii="仿宋_GB2312" w:hAnsi="仿宋" w:eastAsia="仿宋_GB2312"/>
          <w:sz w:val="32"/>
          <w:szCs w:val="32"/>
        </w:rPr>
      </w:pPr>
      <w:r>
        <w:rPr>
          <w:rFonts w:hint="eastAsia" w:ascii="楷体_GB2312" w:hAnsi="楷体" w:eastAsia="楷体_GB2312" w:cs="楷体"/>
          <w:b/>
          <w:bCs/>
          <w:sz w:val="32"/>
          <w:szCs w:val="32"/>
        </w:rPr>
        <w:t>（十九）加强财政资金全链条绩效管理。</w:t>
      </w:r>
      <w:r>
        <w:rPr>
          <w:rFonts w:hint="eastAsia" w:ascii="仿宋_GB2312" w:hAnsi="仿宋" w:eastAsia="仿宋_GB2312"/>
          <w:sz w:val="32"/>
          <w:szCs w:val="32"/>
        </w:rPr>
        <w:t>在预算编制环节明确绩效目标、开展预算评审，执行中强化绩效监控，执行后开展绩效评价和结果运用。强化绩效结果应用，更注重发挥绩效评价报告在机制建立、政策完善、项目调整中的作用，形成预算资金评价、反馈、整改、提升良性循环，确保资金投入更加精准有效。</w:t>
      </w:r>
    </w:p>
    <w:p>
      <w:pPr>
        <w:spacing w:line="620" w:lineRule="exact"/>
        <w:ind w:firstLine="643" w:firstLineChars="200"/>
        <w:rPr>
          <w:rFonts w:hint="eastAsia" w:ascii="黑体" w:hAnsi="黑体" w:eastAsia="黑体"/>
          <w:sz w:val="32"/>
          <w:szCs w:val="32"/>
        </w:rPr>
      </w:pPr>
      <w:r>
        <w:rPr>
          <w:rFonts w:hint="eastAsia" w:ascii="楷体_GB2312" w:hAnsi="楷体" w:eastAsia="楷体_GB2312" w:cs="楷体"/>
          <w:b/>
          <w:bCs/>
          <w:sz w:val="32"/>
          <w:szCs w:val="32"/>
        </w:rPr>
        <w:t>（二十）加强全流程资金监督管理。</w:t>
      </w:r>
      <w:r>
        <w:rPr>
          <w:rFonts w:hint="eastAsia" w:ascii="仿宋_GB2312" w:hAnsi="仿宋" w:eastAsia="仿宋_GB2312"/>
          <w:sz w:val="32"/>
          <w:szCs w:val="32"/>
        </w:rPr>
        <w:t>健全常态化监督和定期评估机制，指导县（市、区）在上级明确的支持方向范围内安排使用上级资金，严禁借统筹整合名义挪用资金。严肃整治违规使用、变相“截留”财政补助资金问题。选取重点项目加强适时监控、开展重点监督，并对发现的重大疑点问题开展重点核查，防止项目实施中可能存在的形象工程、新增隐性债务等情况发生。</w:t>
      </w:r>
    </w:p>
    <w:p>
      <w:pPr>
        <w:spacing w:line="580" w:lineRule="exact"/>
        <w:rPr>
          <w:rFonts w:hint="eastAsia" w:ascii="黑体" w:hAnsi="黑体" w:eastAsia="黑体" w:cs="宋体"/>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8" w:header="851" w:footer="90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2"/>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pPr>
      <w:pStyle w:val="2"/>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GI1YjVmYTU0ZTIzNjhlMDlmNWJlMWE0N2ZhMWYifQ=="/>
  </w:docVars>
  <w:rsids>
    <w:rsidRoot w:val="06630011"/>
    <w:rsid w:val="066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semiHidden/>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adjustRightInd w:val="0"/>
      <w:snapToGrid w:val="0"/>
      <w:spacing w:line="620" w:lineRule="exact"/>
      <w:ind w:left="200" w:leftChars="200" w:firstLine="880" w:firstLine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2023-11-15T07:25:00Z</dcterms:created>
  <dc:creator>吴澍</dc:creator>
  <cp:lastModifiedBy>吴澍</cp:lastModifiedBy>
  <dcterms:modified xsi:type="dcterms:W3CDTF">2023-11-15T07:26:25Z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ACB1B976C30B4B6F9EDC5E19FDB5C4D2</vt:lpwstr>
  </property>
</Properties>
</file>